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72BE0">
      <w:pPr>
        <w:rPr>
          <w:color w:val="auto"/>
          <w:sz w:val="28"/>
          <w:highlight w:val="none"/>
        </w:rPr>
      </w:pPr>
    </w:p>
    <w:p w14:paraId="21734B61">
      <w:pPr>
        <w:jc w:val="right"/>
        <w:rPr>
          <w:b/>
          <w:bCs/>
          <w:color w:val="auto"/>
          <w:sz w:val="36"/>
          <w:highlight w:val="none"/>
        </w:rPr>
      </w:pPr>
      <w:r>
        <w:rPr>
          <w:rFonts w:hint="eastAsia"/>
          <w:b/>
          <w:bCs/>
          <w:color w:val="auto"/>
          <w:sz w:val="36"/>
          <w:highlight w:val="none"/>
        </w:rPr>
        <w:t>CGZX-20260301号</w:t>
      </w:r>
    </w:p>
    <w:p w14:paraId="6D61680E">
      <w:pPr>
        <w:jc w:val="center"/>
        <w:rPr>
          <w:b/>
          <w:bCs/>
          <w:color w:val="auto"/>
          <w:sz w:val="36"/>
          <w:highlight w:val="none"/>
        </w:rPr>
      </w:pPr>
    </w:p>
    <w:p w14:paraId="6A813C56">
      <w:pPr>
        <w:jc w:val="center"/>
        <w:rPr>
          <w:b/>
          <w:bCs/>
          <w:color w:val="auto"/>
          <w:sz w:val="36"/>
          <w:highlight w:val="none"/>
        </w:rPr>
      </w:pPr>
      <w:bookmarkStart w:id="0" w:name="OLE_LINK6"/>
      <w:r>
        <w:rPr>
          <w:rFonts w:hint="eastAsia"/>
          <w:b/>
          <w:bCs/>
          <w:color w:val="auto"/>
          <w:sz w:val="36"/>
          <w:highlight w:val="none"/>
        </w:rPr>
        <w:t>扬州市翠岗中学校园门卫保安服务项目</w:t>
      </w:r>
    </w:p>
    <w:p w14:paraId="21D78119">
      <w:pPr>
        <w:jc w:val="center"/>
        <w:rPr>
          <w:b/>
          <w:bCs/>
          <w:color w:val="auto"/>
          <w:sz w:val="36"/>
          <w:highlight w:val="none"/>
        </w:rPr>
      </w:pPr>
      <w:r>
        <w:rPr>
          <w:rFonts w:hint="eastAsia"/>
          <w:b/>
          <w:bCs/>
          <w:color w:val="auto"/>
          <w:sz w:val="36"/>
          <w:highlight w:val="none"/>
        </w:rPr>
        <w:t>谈判</w:t>
      </w:r>
      <w:bookmarkEnd w:id="0"/>
      <w:r>
        <w:rPr>
          <w:rFonts w:hint="eastAsia"/>
          <w:b/>
          <w:bCs/>
          <w:color w:val="auto"/>
          <w:sz w:val="36"/>
          <w:highlight w:val="none"/>
        </w:rPr>
        <w:t>采购文件</w:t>
      </w:r>
    </w:p>
    <w:p w14:paraId="344381B3">
      <w:pPr>
        <w:jc w:val="center"/>
        <w:rPr>
          <w:color w:val="auto"/>
          <w:sz w:val="36"/>
          <w:highlight w:val="none"/>
        </w:rPr>
      </w:pPr>
    </w:p>
    <w:p w14:paraId="3C49E1F6">
      <w:pPr>
        <w:jc w:val="center"/>
        <w:rPr>
          <w:color w:val="auto"/>
          <w:sz w:val="36"/>
          <w:highlight w:val="none"/>
        </w:rPr>
      </w:pPr>
      <w:r>
        <w:rPr>
          <w:color w:val="auto"/>
          <w:sz w:val="36"/>
          <w:highlight w:val="none"/>
        </w:rPr>
        <w:drawing>
          <wp:inline distT="0" distB="0" distL="114300" distR="114300">
            <wp:extent cx="5266690" cy="3240405"/>
            <wp:effectExtent l="0" t="0" r="1016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66690" cy="3240405"/>
                    </a:xfrm>
                    <a:prstGeom prst="rect">
                      <a:avLst/>
                    </a:prstGeom>
                    <a:noFill/>
                    <a:ln>
                      <a:noFill/>
                    </a:ln>
                  </pic:spPr>
                </pic:pic>
              </a:graphicData>
            </a:graphic>
          </wp:inline>
        </w:drawing>
      </w:r>
    </w:p>
    <w:p w14:paraId="4AC4CF53">
      <w:pPr>
        <w:jc w:val="center"/>
        <w:rPr>
          <w:color w:val="auto"/>
          <w:sz w:val="36"/>
          <w:highlight w:val="none"/>
        </w:rPr>
      </w:pPr>
    </w:p>
    <w:p w14:paraId="6CCB0D6A">
      <w:pPr>
        <w:jc w:val="center"/>
        <w:rPr>
          <w:color w:val="auto"/>
          <w:sz w:val="36"/>
          <w:highlight w:val="none"/>
        </w:rPr>
      </w:pPr>
    </w:p>
    <w:p w14:paraId="7573EC7E">
      <w:pPr>
        <w:jc w:val="center"/>
        <w:rPr>
          <w:b/>
          <w:bCs/>
          <w:color w:val="auto"/>
          <w:sz w:val="36"/>
          <w:highlight w:val="none"/>
        </w:rPr>
      </w:pPr>
      <w:r>
        <w:rPr>
          <w:rFonts w:hint="eastAsia"/>
          <w:b/>
          <w:bCs/>
          <w:color w:val="auto"/>
          <w:sz w:val="36"/>
          <w:highlight w:val="none"/>
        </w:rPr>
        <w:t>江苏苏维工程管理有限公司</w:t>
      </w:r>
    </w:p>
    <w:p w14:paraId="7A04877D">
      <w:pPr>
        <w:jc w:val="center"/>
        <w:rPr>
          <w:b/>
          <w:bCs/>
          <w:color w:val="auto"/>
          <w:sz w:val="36"/>
          <w:highlight w:val="none"/>
        </w:rPr>
        <w:sectPr>
          <w:headerReference r:id="rId6" w:type="first"/>
          <w:headerReference r:id="rId5" w:type="default"/>
          <w:footerReference r:id="rId7" w:type="default"/>
          <w:pgSz w:w="11906" w:h="16838"/>
          <w:pgMar w:top="1440" w:right="1800" w:bottom="1440" w:left="1800" w:header="851" w:footer="992" w:gutter="0"/>
          <w:cols w:space="720" w:num="1"/>
          <w:docGrid w:type="lines" w:linePitch="312" w:charSpace="0"/>
        </w:sectPr>
      </w:pPr>
      <w:r>
        <w:rPr>
          <w:rFonts w:hint="eastAsia"/>
          <w:b/>
          <w:bCs/>
          <w:color w:val="auto"/>
          <w:sz w:val="36"/>
          <w:highlight w:val="none"/>
        </w:rPr>
        <w:t>2026年</w:t>
      </w:r>
      <w:r>
        <w:rPr>
          <w:rFonts w:hint="eastAsia"/>
          <w:b/>
          <w:bCs/>
          <w:color w:val="auto"/>
          <w:sz w:val="36"/>
          <w:highlight w:val="none"/>
          <w:lang w:val="en-US" w:eastAsia="zh-CN"/>
        </w:rPr>
        <w:t>3</w:t>
      </w:r>
      <w:r>
        <w:rPr>
          <w:rFonts w:hint="eastAsia"/>
          <w:b/>
          <w:bCs/>
          <w:color w:val="auto"/>
          <w:sz w:val="36"/>
          <w:highlight w:val="none"/>
        </w:rPr>
        <w:t>月</w:t>
      </w:r>
      <w:r>
        <w:rPr>
          <w:rFonts w:hint="eastAsia"/>
          <w:b/>
          <w:bCs/>
          <w:color w:val="auto"/>
          <w:sz w:val="36"/>
          <w:highlight w:val="none"/>
          <w:lang w:val="en-US" w:eastAsia="zh-CN"/>
        </w:rPr>
        <w:t>17</w:t>
      </w:r>
      <w:r>
        <w:rPr>
          <w:rFonts w:hint="eastAsia"/>
          <w:b/>
          <w:bCs/>
          <w:color w:val="auto"/>
          <w:sz w:val="36"/>
          <w:highlight w:val="none"/>
        </w:rPr>
        <w:t>日</w:t>
      </w:r>
    </w:p>
    <w:p w14:paraId="5E4F1248">
      <w:pPr>
        <w:spacing w:line="360" w:lineRule="auto"/>
        <w:jc w:val="center"/>
        <w:rPr>
          <w:color w:val="auto"/>
          <w:sz w:val="32"/>
          <w:highlight w:val="none"/>
        </w:rPr>
      </w:pPr>
    </w:p>
    <w:p w14:paraId="594F98DD">
      <w:pPr>
        <w:spacing w:line="360" w:lineRule="auto"/>
        <w:jc w:val="center"/>
        <w:rPr>
          <w:color w:val="auto"/>
          <w:sz w:val="32"/>
          <w:highlight w:val="none"/>
        </w:rPr>
      </w:pPr>
    </w:p>
    <w:p w14:paraId="7B4AC5E9">
      <w:pPr>
        <w:spacing w:line="360" w:lineRule="auto"/>
        <w:jc w:val="center"/>
        <w:rPr>
          <w:color w:val="auto"/>
          <w:sz w:val="32"/>
          <w:highlight w:val="none"/>
        </w:rPr>
      </w:pPr>
      <w:r>
        <w:rPr>
          <w:rFonts w:hint="eastAsia"/>
          <w:color w:val="auto"/>
          <w:sz w:val="32"/>
          <w:highlight w:val="none"/>
        </w:rPr>
        <w:t>目</w:t>
      </w:r>
      <w:r>
        <w:rPr>
          <w:color w:val="auto"/>
          <w:sz w:val="32"/>
          <w:highlight w:val="none"/>
        </w:rPr>
        <w:t xml:space="preserve"> 录</w:t>
      </w:r>
    </w:p>
    <w:p w14:paraId="430BE1E9">
      <w:pPr>
        <w:spacing w:line="360" w:lineRule="auto"/>
        <w:jc w:val="center"/>
        <w:rPr>
          <w:color w:val="auto"/>
          <w:sz w:val="32"/>
          <w:highlight w:val="none"/>
        </w:rPr>
      </w:pPr>
    </w:p>
    <w:p w14:paraId="56C880EC">
      <w:pPr>
        <w:pStyle w:val="19"/>
        <w:tabs>
          <w:tab w:val="right" w:leader="dot" w:pos="8306"/>
        </w:tabs>
        <w:spacing w:line="360" w:lineRule="auto"/>
        <w:rPr>
          <w:color w:val="auto"/>
          <w:highlight w:val="none"/>
        </w:rPr>
      </w:pPr>
      <w:r>
        <w:rPr>
          <w:color w:val="auto"/>
          <w:sz w:val="28"/>
          <w:highlight w:val="none"/>
        </w:rPr>
        <w:fldChar w:fldCharType="begin"/>
      </w:r>
      <w:r>
        <w:rPr>
          <w:color w:val="auto"/>
          <w:sz w:val="28"/>
          <w:highlight w:val="none"/>
        </w:rPr>
        <w:instrText xml:space="preserve"> TOC \o "1-3" \f </w:instrText>
      </w:r>
      <w:r>
        <w:rPr>
          <w:color w:val="auto"/>
          <w:sz w:val="28"/>
          <w:highlight w:val="none"/>
        </w:rPr>
        <w:fldChar w:fldCharType="separate"/>
      </w:r>
      <w:r>
        <w:rPr>
          <w:rFonts w:hint="eastAsia"/>
          <w:color w:val="auto"/>
          <w:highlight w:val="none"/>
        </w:rPr>
        <w:t>第一章谈判采购</w:t>
      </w:r>
      <w:r>
        <w:rPr>
          <w:color w:val="auto"/>
          <w:highlight w:val="none"/>
        </w:rPr>
        <w:t>邀请</w:t>
      </w:r>
      <w:r>
        <w:rPr>
          <w:color w:val="auto"/>
          <w:highlight w:val="none"/>
        </w:rPr>
        <w:tab/>
      </w:r>
      <w:r>
        <w:rPr>
          <w:color w:val="auto"/>
          <w:highlight w:val="none"/>
        </w:rPr>
        <w:fldChar w:fldCharType="begin"/>
      </w:r>
      <w:r>
        <w:rPr>
          <w:color w:val="auto"/>
          <w:highlight w:val="none"/>
        </w:rPr>
        <w:instrText xml:space="preserve"> PAGEREF _Toc31083 \h </w:instrText>
      </w:r>
      <w:r>
        <w:rPr>
          <w:color w:val="auto"/>
          <w:highlight w:val="none"/>
        </w:rPr>
        <w:fldChar w:fldCharType="separate"/>
      </w:r>
      <w:r>
        <w:rPr>
          <w:color w:val="auto"/>
          <w:highlight w:val="none"/>
        </w:rPr>
        <w:t>3</w:t>
      </w:r>
      <w:r>
        <w:rPr>
          <w:color w:val="auto"/>
          <w:highlight w:val="none"/>
        </w:rPr>
        <w:fldChar w:fldCharType="end"/>
      </w:r>
    </w:p>
    <w:p w14:paraId="1A957A76">
      <w:pPr>
        <w:pStyle w:val="19"/>
        <w:tabs>
          <w:tab w:val="right" w:leader="dot" w:pos="8306"/>
        </w:tabs>
        <w:spacing w:line="360" w:lineRule="auto"/>
        <w:rPr>
          <w:rFonts w:hint="eastAsia" w:eastAsia="宋体"/>
          <w:color w:val="auto"/>
          <w:highlight w:val="none"/>
          <w:lang w:eastAsia="zh-CN"/>
        </w:rPr>
      </w:pPr>
      <w:r>
        <w:rPr>
          <w:rFonts w:hint="eastAsia"/>
          <w:bCs/>
          <w:color w:val="auto"/>
          <w:highlight w:val="none"/>
        </w:rPr>
        <w:t>第二章 谈判须知</w:t>
      </w:r>
      <w:r>
        <w:rPr>
          <w:color w:val="auto"/>
          <w:highlight w:val="none"/>
        </w:rPr>
        <w:tab/>
      </w:r>
      <w:r>
        <w:rPr>
          <w:rFonts w:hint="eastAsia"/>
          <w:color w:val="auto"/>
          <w:highlight w:val="none"/>
          <w:lang w:val="en-US" w:eastAsia="zh-CN"/>
        </w:rPr>
        <w:t>7</w:t>
      </w:r>
    </w:p>
    <w:p w14:paraId="6CA3FFE4">
      <w:pPr>
        <w:pStyle w:val="19"/>
        <w:tabs>
          <w:tab w:val="right" w:leader="dot" w:pos="8306"/>
        </w:tabs>
        <w:spacing w:line="360" w:lineRule="auto"/>
        <w:rPr>
          <w:rFonts w:hint="default" w:eastAsia="宋体"/>
          <w:color w:val="auto"/>
          <w:highlight w:val="none"/>
          <w:lang w:val="en-US" w:eastAsia="zh-CN"/>
        </w:rPr>
      </w:pPr>
      <w:r>
        <w:rPr>
          <w:rFonts w:hint="eastAsia"/>
          <w:bCs/>
          <w:color w:val="auto"/>
          <w:highlight w:val="none"/>
        </w:rPr>
        <w:t>第三章 合同条款及格式</w:t>
      </w:r>
      <w:r>
        <w:rPr>
          <w:color w:val="auto"/>
          <w:highlight w:val="none"/>
        </w:rPr>
        <w:tab/>
      </w:r>
      <w:r>
        <w:rPr>
          <w:rFonts w:hint="eastAsia"/>
          <w:color w:val="auto"/>
          <w:highlight w:val="none"/>
          <w:lang w:val="en-US" w:eastAsia="zh-CN"/>
        </w:rPr>
        <w:t>19</w:t>
      </w:r>
    </w:p>
    <w:p w14:paraId="717AEA41">
      <w:pPr>
        <w:pStyle w:val="19"/>
        <w:tabs>
          <w:tab w:val="right" w:leader="dot" w:pos="8306"/>
        </w:tabs>
        <w:spacing w:line="360" w:lineRule="auto"/>
        <w:rPr>
          <w:rFonts w:hint="default" w:eastAsia="宋体"/>
          <w:color w:val="auto"/>
          <w:highlight w:val="none"/>
          <w:lang w:val="en-US" w:eastAsia="zh-CN"/>
        </w:rPr>
      </w:pPr>
      <w:r>
        <w:rPr>
          <w:rFonts w:hint="eastAsia"/>
          <w:bCs/>
          <w:color w:val="auto"/>
          <w:highlight w:val="none"/>
        </w:rPr>
        <w:t>第四章 项目需求</w:t>
      </w:r>
      <w:r>
        <w:rPr>
          <w:color w:val="auto"/>
          <w:highlight w:val="none"/>
        </w:rPr>
        <w:tab/>
      </w:r>
      <w:r>
        <w:rPr>
          <w:rFonts w:hint="eastAsia"/>
          <w:color w:val="auto"/>
          <w:highlight w:val="none"/>
          <w:lang w:val="en-US" w:eastAsia="zh-CN"/>
        </w:rPr>
        <w:t>29</w:t>
      </w:r>
    </w:p>
    <w:p w14:paraId="2E82B812">
      <w:pPr>
        <w:pStyle w:val="19"/>
        <w:tabs>
          <w:tab w:val="right" w:leader="dot" w:pos="8306"/>
        </w:tabs>
        <w:spacing w:line="360" w:lineRule="auto"/>
        <w:rPr>
          <w:rFonts w:hint="default" w:eastAsia="宋体"/>
          <w:color w:val="auto"/>
          <w:highlight w:val="none"/>
          <w:lang w:val="en-US" w:eastAsia="zh-CN"/>
        </w:rPr>
      </w:pPr>
      <w:r>
        <w:rPr>
          <w:rFonts w:hint="eastAsia"/>
          <w:bCs/>
          <w:color w:val="auto"/>
          <w:highlight w:val="none"/>
        </w:rPr>
        <w:t>第五章 评审方法和评审标准</w:t>
      </w:r>
      <w:r>
        <w:rPr>
          <w:color w:val="auto"/>
          <w:highlight w:val="none"/>
        </w:rPr>
        <w:tab/>
      </w:r>
      <w:r>
        <w:rPr>
          <w:rFonts w:hint="eastAsia"/>
          <w:color w:val="auto"/>
          <w:highlight w:val="none"/>
          <w:lang w:val="en-US" w:eastAsia="zh-CN"/>
        </w:rPr>
        <w:t>36</w:t>
      </w:r>
    </w:p>
    <w:p w14:paraId="4F8025A8">
      <w:pPr>
        <w:pStyle w:val="19"/>
        <w:tabs>
          <w:tab w:val="right" w:leader="dot" w:pos="8306"/>
        </w:tabs>
        <w:spacing w:line="360" w:lineRule="auto"/>
        <w:rPr>
          <w:rFonts w:hint="default" w:eastAsia="宋体"/>
          <w:color w:val="auto"/>
          <w:highlight w:val="none"/>
          <w:lang w:val="en-US" w:eastAsia="zh-CN"/>
        </w:rPr>
      </w:pPr>
      <w:r>
        <w:rPr>
          <w:rFonts w:hint="eastAsia"/>
          <w:bCs/>
          <w:color w:val="auto"/>
          <w:highlight w:val="none"/>
        </w:rPr>
        <w:t>第六章 谈判采购响应文件格式</w:t>
      </w:r>
      <w:r>
        <w:rPr>
          <w:color w:val="auto"/>
          <w:highlight w:val="none"/>
        </w:rPr>
        <w:tab/>
      </w:r>
      <w:r>
        <w:rPr>
          <w:rFonts w:hint="eastAsia"/>
          <w:color w:val="auto"/>
          <w:highlight w:val="none"/>
          <w:lang w:val="en-US" w:eastAsia="zh-CN"/>
        </w:rPr>
        <w:t>39</w:t>
      </w:r>
    </w:p>
    <w:p w14:paraId="5E737A1D">
      <w:pPr>
        <w:spacing w:line="360" w:lineRule="auto"/>
        <w:rPr>
          <w:color w:val="auto"/>
          <w:sz w:val="28"/>
          <w:highlight w:val="none"/>
        </w:rPr>
        <w:sectPr>
          <w:pgSz w:w="11906" w:h="16838"/>
          <w:pgMar w:top="1440" w:right="1800" w:bottom="1440" w:left="1800" w:header="851" w:footer="992" w:gutter="0"/>
          <w:cols w:space="720" w:num="1"/>
          <w:docGrid w:type="lines" w:linePitch="312" w:charSpace="0"/>
        </w:sectPr>
      </w:pPr>
      <w:r>
        <w:rPr>
          <w:color w:val="auto"/>
          <w:highlight w:val="none"/>
        </w:rPr>
        <w:fldChar w:fldCharType="end"/>
      </w:r>
      <w:bookmarkStart w:id="1" w:name="_Toc31083"/>
      <w:bookmarkStart w:id="2" w:name="_Toc1205"/>
      <w:bookmarkStart w:id="3" w:name="_Toc497145839"/>
    </w:p>
    <w:p w14:paraId="2AC8DDF1">
      <w:pPr>
        <w:spacing w:line="360" w:lineRule="auto"/>
        <w:jc w:val="center"/>
        <w:rPr>
          <w:color w:val="auto"/>
          <w:sz w:val="36"/>
          <w:highlight w:val="none"/>
        </w:rPr>
      </w:pPr>
      <w:r>
        <w:rPr>
          <w:rFonts w:hint="eastAsia"/>
          <w:color w:val="auto"/>
          <w:sz w:val="36"/>
          <w:highlight w:val="none"/>
        </w:rPr>
        <w:t>第一章 谈判采购邀请</w:t>
      </w:r>
      <w:bookmarkEnd w:id="1"/>
      <w:bookmarkEnd w:id="2"/>
      <w:bookmarkEnd w:id="3"/>
    </w:p>
    <w:p w14:paraId="66A90A18">
      <w:pPr>
        <w:spacing w:line="360" w:lineRule="auto"/>
        <w:ind w:firstLine="420" w:firstLineChars="200"/>
        <w:rPr>
          <w:color w:val="auto"/>
          <w:szCs w:val="21"/>
          <w:highlight w:val="none"/>
        </w:rPr>
      </w:pPr>
      <w:bookmarkStart w:id="4" w:name="_Hlk207609034"/>
      <w:r>
        <w:rPr>
          <w:rFonts w:hint="eastAsia"/>
          <w:color w:val="auto"/>
          <w:szCs w:val="21"/>
          <w:highlight w:val="none"/>
        </w:rPr>
        <w:t>江苏苏维工程管理有限公司受扬州市翠岗中学的委托，</w:t>
      </w:r>
      <w:r>
        <w:rPr>
          <w:rFonts w:hint="eastAsia"/>
          <w:bCs/>
          <w:color w:val="auto"/>
          <w:szCs w:val="21"/>
          <w:highlight w:val="none"/>
        </w:rPr>
        <w:t>就其</w:t>
      </w:r>
      <w:bookmarkStart w:id="5" w:name="OLE_LINK16"/>
      <w:bookmarkEnd w:id="5"/>
      <w:r>
        <w:rPr>
          <w:rFonts w:hint="eastAsia"/>
          <w:color w:val="auto"/>
          <w:szCs w:val="21"/>
          <w:highlight w:val="none"/>
        </w:rPr>
        <w:t>扬州市翠岗中学校园门卫保安服务项目实施谈判采购，欢迎符合相关条件的供应商参加谈判。</w:t>
      </w:r>
    </w:p>
    <w:p w14:paraId="670817B1">
      <w:pPr>
        <w:spacing w:line="360" w:lineRule="auto"/>
        <w:ind w:firstLine="422" w:firstLineChars="200"/>
        <w:outlineLvl w:val="0"/>
        <w:rPr>
          <w:b/>
          <w:color w:val="auto"/>
          <w:szCs w:val="21"/>
          <w:highlight w:val="none"/>
        </w:rPr>
      </w:pPr>
      <w:r>
        <w:rPr>
          <w:rFonts w:hint="eastAsia"/>
          <w:b/>
          <w:color w:val="auto"/>
          <w:szCs w:val="21"/>
          <w:highlight w:val="none"/>
        </w:rPr>
        <w:t>一、</w:t>
      </w:r>
      <w:r>
        <w:rPr>
          <w:rFonts w:hint="eastAsia"/>
          <w:b/>
          <w:bCs/>
          <w:color w:val="auto"/>
          <w:szCs w:val="21"/>
          <w:highlight w:val="none"/>
        </w:rPr>
        <w:t>采购项目名称</w:t>
      </w:r>
      <w:r>
        <w:rPr>
          <w:rFonts w:hint="eastAsia"/>
          <w:b/>
          <w:color w:val="auto"/>
          <w:szCs w:val="21"/>
          <w:highlight w:val="none"/>
        </w:rPr>
        <w:t>及编号</w:t>
      </w:r>
    </w:p>
    <w:p w14:paraId="61761406">
      <w:pPr>
        <w:spacing w:line="360" w:lineRule="auto"/>
        <w:ind w:firstLine="420" w:firstLineChars="200"/>
        <w:rPr>
          <w:color w:val="auto"/>
          <w:szCs w:val="21"/>
          <w:highlight w:val="none"/>
        </w:rPr>
      </w:pPr>
      <w:r>
        <w:rPr>
          <w:rFonts w:hint="eastAsia"/>
          <w:color w:val="auto"/>
          <w:szCs w:val="21"/>
          <w:highlight w:val="none"/>
        </w:rPr>
        <w:t>项目名称</w:t>
      </w:r>
      <w:r>
        <w:rPr>
          <w:rFonts w:hint="eastAsia"/>
          <w:color w:val="auto"/>
          <w:sz w:val="24"/>
          <w:highlight w:val="none"/>
        </w:rPr>
        <w:t>：</w:t>
      </w:r>
      <w:r>
        <w:rPr>
          <w:rFonts w:hint="eastAsia"/>
          <w:color w:val="auto"/>
          <w:szCs w:val="21"/>
          <w:highlight w:val="none"/>
        </w:rPr>
        <w:t>扬州市翠岗中学校园门卫保安服务项目</w:t>
      </w:r>
    </w:p>
    <w:p w14:paraId="56ED9D90">
      <w:pPr>
        <w:spacing w:line="360" w:lineRule="auto"/>
        <w:ind w:firstLine="420" w:firstLineChars="200"/>
        <w:rPr>
          <w:color w:val="auto"/>
          <w:szCs w:val="21"/>
          <w:highlight w:val="none"/>
        </w:rPr>
      </w:pPr>
      <w:r>
        <w:rPr>
          <w:rFonts w:hint="eastAsia"/>
          <w:color w:val="auto"/>
          <w:szCs w:val="21"/>
          <w:highlight w:val="none"/>
        </w:rPr>
        <w:t>项目编号</w:t>
      </w:r>
      <w:r>
        <w:rPr>
          <w:rFonts w:hint="eastAsia"/>
          <w:color w:val="auto"/>
          <w:sz w:val="24"/>
          <w:highlight w:val="none"/>
        </w:rPr>
        <w:t>：</w:t>
      </w:r>
      <w:r>
        <w:rPr>
          <w:rFonts w:hint="eastAsia"/>
          <w:color w:val="auto"/>
          <w:szCs w:val="21"/>
          <w:highlight w:val="none"/>
        </w:rPr>
        <w:t>CGZX-20260301号</w:t>
      </w:r>
    </w:p>
    <w:p w14:paraId="3453EB52">
      <w:pPr>
        <w:tabs>
          <w:tab w:val="left" w:pos="900"/>
        </w:tabs>
        <w:spacing w:line="360" w:lineRule="auto"/>
        <w:ind w:firstLine="422" w:firstLineChars="200"/>
        <w:rPr>
          <w:b/>
          <w:bCs/>
          <w:color w:val="auto"/>
          <w:szCs w:val="21"/>
          <w:highlight w:val="none"/>
        </w:rPr>
      </w:pPr>
      <w:r>
        <w:rPr>
          <w:rFonts w:hint="eastAsia"/>
          <w:b/>
          <w:bCs/>
          <w:color w:val="auto"/>
          <w:szCs w:val="21"/>
          <w:highlight w:val="none"/>
        </w:rPr>
        <w:t>二、采购项目简要说明及预算金额</w:t>
      </w:r>
    </w:p>
    <w:p w14:paraId="07DE434D">
      <w:pPr>
        <w:tabs>
          <w:tab w:val="left" w:pos="900"/>
        </w:tabs>
        <w:spacing w:line="360" w:lineRule="auto"/>
        <w:ind w:firstLine="420" w:firstLineChars="200"/>
        <w:rPr>
          <w:rFonts w:ascii="宋体" w:hAnsi="宋体" w:cs="宋体"/>
          <w:color w:val="auto"/>
          <w:highlight w:val="none"/>
        </w:rPr>
      </w:pPr>
      <w:bookmarkStart w:id="6" w:name="OLE_LINK2"/>
      <w:r>
        <w:rPr>
          <w:rFonts w:hint="eastAsia" w:ascii="宋体" w:hAnsi="宋体" w:cs="宋体"/>
          <w:color w:val="auto"/>
          <w:highlight w:val="none"/>
        </w:rPr>
        <w:t xml:space="preserve">1.本项目最高限价：27.2万元，报价超过最高限价的视为无效响应文件。 </w:t>
      </w:r>
    </w:p>
    <w:p w14:paraId="03FC4750">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2.基本情况</w:t>
      </w:r>
    </w:p>
    <w:p w14:paraId="38B70EBE">
      <w:pPr>
        <w:tabs>
          <w:tab w:val="left" w:pos="90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学校地址位于扬州市维扬路459号，占地60余亩。在校生1800余人，现有学校大门（西门），学校安全保卫机构健全，由学校学工处，全面负责学校安全保卫工作。</w:t>
      </w:r>
    </w:p>
    <w:p w14:paraId="34985FDC">
      <w:pPr>
        <w:numPr>
          <w:ilvl w:val="255"/>
          <w:numId w:val="0"/>
        </w:num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3.本项目</w:t>
      </w:r>
      <w:bookmarkEnd w:id="6"/>
      <w:r>
        <w:rPr>
          <w:rFonts w:hint="eastAsia" w:ascii="宋体" w:hAnsi="宋体" w:cs="宋体"/>
          <w:color w:val="auto"/>
          <w:highlight w:val="none"/>
        </w:rPr>
        <w:t>合同履约期限：服务期1年（自合同签订之日起计算）。</w:t>
      </w:r>
    </w:p>
    <w:p w14:paraId="2E1F4617">
      <w:pPr>
        <w:tabs>
          <w:tab w:val="left" w:pos="900"/>
        </w:tabs>
        <w:spacing w:line="360" w:lineRule="auto"/>
        <w:ind w:firstLine="420" w:firstLineChars="200"/>
        <w:rPr>
          <w:color w:val="auto"/>
          <w:highlight w:val="none"/>
        </w:rPr>
      </w:pPr>
      <w:r>
        <w:rPr>
          <w:rFonts w:hint="eastAsia"/>
          <w:color w:val="auto"/>
          <w:szCs w:val="21"/>
          <w:highlight w:val="none"/>
        </w:rPr>
        <w:t>4.采购方式：谈判（综合评分）</w:t>
      </w:r>
    </w:p>
    <w:p w14:paraId="6251AE59">
      <w:pPr>
        <w:tabs>
          <w:tab w:val="left" w:pos="900"/>
        </w:tabs>
        <w:spacing w:line="360" w:lineRule="auto"/>
        <w:ind w:firstLine="422" w:firstLineChars="200"/>
        <w:rPr>
          <w:rFonts w:cs="Arial"/>
          <w:b/>
          <w:bCs/>
          <w:color w:val="auto"/>
          <w:szCs w:val="21"/>
          <w:highlight w:val="none"/>
        </w:rPr>
      </w:pPr>
      <w:r>
        <w:rPr>
          <w:rFonts w:hint="eastAsia" w:cs="Arial"/>
          <w:b/>
          <w:bCs/>
          <w:color w:val="auto"/>
          <w:szCs w:val="21"/>
          <w:highlight w:val="none"/>
        </w:rPr>
        <w:t>三、合格谈判供应商资格要求</w:t>
      </w:r>
    </w:p>
    <w:p w14:paraId="184D5C52">
      <w:pPr>
        <w:spacing w:line="360" w:lineRule="auto"/>
        <w:ind w:firstLine="420" w:firstLineChars="200"/>
        <w:rPr>
          <w:color w:val="auto"/>
          <w:szCs w:val="21"/>
          <w:highlight w:val="none"/>
        </w:rPr>
      </w:pPr>
      <w:r>
        <w:rPr>
          <w:rFonts w:hint="eastAsia"/>
          <w:color w:val="auto"/>
          <w:szCs w:val="21"/>
          <w:highlight w:val="none"/>
        </w:rPr>
        <w:t>（一）符合《中华人民共和国政府采购法》第二十二条规定，且已在扬州市政府采购服务商城注册的供应商：</w:t>
      </w:r>
    </w:p>
    <w:p w14:paraId="61DB17F9">
      <w:pPr>
        <w:spacing w:line="360" w:lineRule="auto"/>
        <w:ind w:firstLine="420" w:firstLineChars="200"/>
        <w:rPr>
          <w:color w:val="auto"/>
          <w:szCs w:val="21"/>
          <w:highlight w:val="none"/>
        </w:rPr>
      </w:pPr>
      <w:r>
        <w:rPr>
          <w:rFonts w:hint="eastAsia"/>
          <w:color w:val="auto"/>
          <w:szCs w:val="21"/>
          <w:highlight w:val="none"/>
        </w:rPr>
        <w:t>1 具有独立承担民事责任的能力（提供法人或者其他组织的营业执照等证明文件，扫描件加盖公章）；</w:t>
      </w:r>
    </w:p>
    <w:p w14:paraId="6B71AB97">
      <w:pPr>
        <w:spacing w:line="360" w:lineRule="auto"/>
        <w:ind w:firstLine="420" w:firstLineChars="200"/>
        <w:rPr>
          <w:color w:val="auto"/>
          <w:szCs w:val="21"/>
          <w:highlight w:val="none"/>
        </w:rPr>
      </w:pPr>
      <w:r>
        <w:rPr>
          <w:rFonts w:hint="eastAsia"/>
          <w:color w:val="auto"/>
          <w:szCs w:val="21"/>
          <w:highlight w:val="none"/>
        </w:rPr>
        <w:t>2 被授权人参加谈判采购的须提供《法人授权书》原件、法定代表人身份证复印件、被授权人身份证复印件（原件备查）；若法定代表人参加谈判采购，只须提供本人身份证复印件（原件备查）</w:t>
      </w:r>
    </w:p>
    <w:p w14:paraId="1B0864F4">
      <w:pPr>
        <w:spacing w:line="360" w:lineRule="auto"/>
        <w:ind w:firstLine="420" w:firstLineChars="200"/>
        <w:rPr>
          <w:color w:val="auto"/>
          <w:szCs w:val="21"/>
          <w:highlight w:val="none"/>
        </w:rPr>
      </w:pPr>
      <w:r>
        <w:rPr>
          <w:rFonts w:hint="eastAsia"/>
          <w:color w:val="auto"/>
          <w:szCs w:val="21"/>
          <w:highlight w:val="none"/>
        </w:rPr>
        <w:t>3 具有良好的商业信誉和健全的财务会计制度；</w:t>
      </w:r>
    </w:p>
    <w:p w14:paraId="410638D4">
      <w:pPr>
        <w:spacing w:line="360" w:lineRule="auto"/>
        <w:ind w:firstLine="420" w:firstLineChars="200"/>
        <w:rPr>
          <w:color w:val="auto"/>
          <w:szCs w:val="21"/>
          <w:highlight w:val="none"/>
        </w:rPr>
      </w:pPr>
      <w:r>
        <w:rPr>
          <w:rFonts w:hint="eastAsia"/>
          <w:color w:val="auto"/>
          <w:szCs w:val="21"/>
          <w:highlight w:val="none"/>
        </w:rPr>
        <w:t>4 具有履行合同所必需的设备和专业技术能力；</w:t>
      </w:r>
    </w:p>
    <w:p w14:paraId="1E910CCE">
      <w:pPr>
        <w:spacing w:line="360" w:lineRule="auto"/>
        <w:ind w:firstLine="420" w:firstLineChars="200"/>
        <w:rPr>
          <w:color w:val="auto"/>
          <w:szCs w:val="21"/>
          <w:highlight w:val="none"/>
        </w:rPr>
      </w:pPr>
      <w:r>
        <w:rPr>
          <w:rFonts w:hint="eastAsia"/>
          <w:color w:val="auto"/>
          <w:szCs w:val="21"/>
          <w:highlight w:val="none"/>
        </w:rPr>
        <w:t>5 有依法缴纳税收和社会保障资金的良好记录；</w:t>
      </w:r>
    </w:p>
    <w:p w14:paraId="496B415D">
      <w:pPr>
        <w:spacing w:line="360" w:lineRule="auto"/>
        <w:ind w:firstLine="420" w:firstLineChars="200"/>
        <w:rPr>
          <w:color w:val="auto"/>
          <w:szCs w:val="21"/>
          <w:highlight w:val="none"/>
        </w:rPr>
      </w:pPr>
      <w:r>
        <w:rPr>
          <w:rFonts w:hint="eastAsia"/>
          <w:color w:val="auto"/>
          <w:szCs w:val="21"/>
          <w:highlight w:val="none"/>
        </w:rPr>
        <w:t>6 参加采购活动前三年内，在经营活动中没有重大违法记录；</w:t>
      </w:r>
    </w:p>
    <w:p w14:paraId="075E4316">
      <w:pPr>
        <w:spacing w:line="360" w:lineRule="auto"/>
        <w:ind w:firstLine="420" w:firstLineChars="200"/>
        <w:rPr>
          <w:color w:val="auto"/>
          <w:szCs w:val="21"/>
          <w:highlight w:val="none"/>
        </w:rPr>
      </w:pPr>
      <w:r>
        <w:rPr>
          <w:rFonts w:hint="eastAsia"/>
          <w:color w:val="auto"/>
          <w:szCs w:val="21"/>
          <w:highlight w:val="none"/>
        </w:rPr>
        <w:t>7 法律、行政法规规定的其他条件。</w:t>
      </w:r>
    </w:p>
    <w:p w14:paraId="3EF68FFE">
      <w:pPr>
        <w:spacing w:line="360" w:lineRule="auto"/>
        <w:ind w:firstLine="420" w:firstLineChars="200"/>
        <w:rPr>
          <w:color w:val="auto"/>
          <w:szCs w:val="21"/>
          <w:highlight w:val="none"/>
        </w:rPr>
      </w:pPr>
      <w:r>
        <w:rPr>
          <w:rFonts w:hint="eastAsia"/>
          <w:color w:val="auto"/>
          <w:szCs w:val="21"/>
          <w:highlight w:val="none"/>
        </w:rPr>
        <w:t>（3-7由供应商自行提供承诺说明，加盖公章）</w:t>
      </w:r>
    </w:p>
    <w:p w14:paraId="715FF35C">
      <w:pPr>
        <w:spacing w:line="360" w:lineRule="auto"/>
        <w:ind w:firstLine="422" w:firstLineChars="200"/>
        <w:rPr>
          <w:b/>
          <w:bCs/>
          <w:color w:val="auto"/>
          <w:szCs w:val="21"/>
          <w:highlight w:val="none"/>
        </w:rPr>
      </w:pPr>
      <w:r>
        <w:rPr>
          <w:rFonts w:hint="eastAsia"/>
          <w:b/>
          <w:bCs/>
          <w:color w:val="auto"/>
          <w:szCs w:val="21"/>
          <w:highlight w:val="none"/>
        </w:rPr>
        <w:t>注：①如供应商为非企业法人，则3和5项无需提供。</w:t>
      </w:r>
    </w:p>
    <w:p w14:paraId="48462A36">
      <w:pPr>
        <w:spacing w:line="360" w:lineRule="auto"/>
        <w:ind w:firstLine="422" w:firstLineChars="200"/>
        <w:rPr>
          <w:b/>
          <w:bCs/>
          <w:color w:val="auto"/>
          <w:szCs w:val="21"/>
          <w:highlight w:val="none"/>
        </w:rPr>
      </w:pPr>
      <w:r>
        <w:rPr>
          <w:rFonts w:hint="eastAsia"/>
          <w:b/>
          <w:bCs/>
          <w:color w:val="auto"/>
          <w:szCs w:val="21"/>
          <w:highlight w:val="none"/>
        </w:rPr>
        <w:t>②如个体工商户、自然人、事业单位等非企业法人确实无法提供上述第3和第5项材料的，请提供相应情况说明。</w:t>
      </w:r>
    </w:p>
    <w:p w14:paraId="035C5E14">
      <w:pPr>
        <w:spacing w:line="360" w:lineRule="auto"/>
        <w:ind w:firstLine="420" w:firstLineChars="200"/>
        <w:rPr>
          <w:color w:val="auto"/>
          <w:szCs w:val="21"/>
          <w:highlight w:val="none"/>
        </w:rPr>
      </w:pPr>
      <w:r>
        <w:rPr>
          <w:rFonts w:hint="eastAsia"/>
          <w:color w:val="auto"/>
          <w:szCs w:val="21"/>
          <w:highlight w:val="none"/>
        </w:rPr>
        <w:t>（二）采购人根据本项目要求规定的特定条件：</w:t>
      </w:r>
      <w:r>
        <w:rPr>
          <w:rFonts w:hint="eastAsia" w:ascii="宋体" w:hAnsi="宋体" w:cs="宋体"/>
          <w:i/>
          <w:color w:val="auto"/>
          <w:szCs w:val="21"/>
          <w:highlight w:val="none"/>
          <w:u w:val="single"/>
        </w:rPr>
        <w:t>供应商须提供由公安机关核发的有效的《保安服务许可证》</w:t>
      </w:r>
      <w:r>
        <w:rPr>
          <w:rFonts w:hint="eastAsia"/>
          <w:i/>
          <w:iCs/>
          <w:color w:val="auto"/>
          <w:szCs w:val="21"/>
          <w:highlight w:val="none"/>
          <w:u w:val="single"/>
        </w:rPr>
        <w:t>（复印件加盖供应商公章）</w:t>
      </w:r>
    </w:p>
    <w:p w14:paraId="0A87F394">
      <w:pPr>
        <w:spacing w:line="360" w:lineRule="auto"/>
        <w:ind w:firstLine="420" w:firstLineChars="200"/>
        <w:jc w:val="left"/>
        <w:rPr>
          <w:rFonts w:cs="宋体"/>
          <w:color w:val="auto"/>
          <w:szCs w:val="21"/>
          <w:highlight w:val="none"/>
        </w:rPr>
      </w:pPr>
      <w:r>
        <w:rPr>
          <w:rFonts w:hint="eastAsia" w:cs="宋体"/>
          <w:color w:val="auto"/>
          <w:szCs w:val="21"/>
          <w:highlight w:val="none"/>
        </w:rPr>
        <w:t>（三）拒绝下述供应商参加本次采购活动：</w:t>
      </w:r>
    </w:p>
    <w:p w14:paraId="18C739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供应商单位负责人为同一人或者存在直接控股、管理关系的不同供应商，不得参加同一合同项下的采购活动。</w:t>
      </w:r>
    </w:p>
    <w:p w14:paraId="220626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 凡为采购项目提供整体设计、规范编制或者项目管理、监理、检测等服务的供应商，不得再参加该项目的其他采购活动。</w:t>
      </w:r>
    </w:p>
    <w:p w14:paraId="7FBD9D54">
      <w:pPr>
        <w:spacing w:line="360" w:lineRule="auto"/>
        <w:ind w:firstLine="420" w:firstLineChars="200"/>
        <w:rPr>
          <w:rFonts w:cs="宋体"/>
          <w:color w:val="auto"/>
          <w:szCs w:val="21"/>
          <w:highlight w:val="none"/>
        </w:rPr>
      </w:pPr>
      <w:r>
        <w:rPr>
          <w:rFonts w:hint="eastAsia" w:ascii="宋体" w:hAnsi="宋体" w:cs="宋体"/>
          <w:color w:val="auto"/>
          <w:szCs w:val="21"/>
          <w:highlight w:val="none"/>
        </w:rPr>
        <w:t>3 供应商被“信用中国”网站（www.creditchina.gov.cn）、“中国政府采购网”(www.ccgp.gov.cn)列入失信被执行人、重大税收违法案件当事人名单、政府采购严重违法失信行为记录名单。</w:t>
      </w:r>
    </w:p>
    <w:p w14:paraId="72E8FCE4">
      <w:pPr>
        <w:spacing w:line="360" w:lineRule="auto"/>
        <w:ind w:firstLine="420" w:firstLineChars="200"/>
        <w:outlineLvl w:val="0"/>
        <w:rPr>
          <w:rFonts w:cs="宋体"/>
          <w:color w:val="auto"/>
          <w:szCs w:val="21"/>
          <w:highlight w:val="none"/>
        </w:rPr>
      </w:pPr>
      <w:r>
        <w:rPr>
          <w:rFonts w:hint="eastAsia" w:cs="宋体"/>
          <w:color w:val="auto"/>
          <w:szCs w:val="21"/>
          <w:highlight w:val="none"/>
        </w:rPr>
        <w:t>（四）集中考察或召开答疑会：无</w:t>
      </w:r>
    </w:p>
    <w:p w14:paraId="4A15589A">
      <w:pPr>
        <w:spacing w:line="360" w:lineRule="auto"/>
        <w:ind w:firstLine="420" w:firstLineChars="200"/>
        <w:outlineLvl w:val="0"/>
        <w:rPr>
          <w:rFonts w:cs="宋体"/>
          <w:color w:val="auto"/>
          <w:szCs w:val="21"/>
          <w:highlight w:val="none"/>
        </w:rPr>
      </w:pPr>
      <w:r>
        <w:rPr>
          <w:rFonts w:hint="eastAsia" w:cs="宋体"/>
          <w:color w:val="auto"/>
          <w:szCs w:val="21"/>
          <w:highlight w:val="none"/>
        </w:rPr>
        <w:t>（五）本项目不接受联合体参加谈判。</w:t>
      </w:r>
    </w:p>
    <w:p w14:paraId="76FE494A">
      <w:pPr>
        <w:spacing w:after="156" w:line="360" w:lineRule="auto"/>
        <w:ind w:firstLine="514" w:firstLineChars="244"/>
        <w:rPr>
          <w:color w:val="auto"/>
          <w:szCs w:val="21"/>
          <w:highlight w:val="none"/>
        </w:rPr>
      </w:pPr>
      <w:r>
        <w:rPr>
          <w:rFonts w:hint="eastAsia"/>
          <w:b/>
          <w:bCs/>
          <w:color w:val="auto"/>
          <w:szCs w:val="21"/>
          <w:highlight w:val="none"/>
        </w:rPr>
        <w:t>四、谈判响应文件接收截止时间和地点</w:t>
      </w:r>
    </w:p>
    <w:p w14:paraId="18C18399">
      <w:pPr>
        <w:spacing w:line="360" w:lineRule="auto"/>
        <w:ind w:firstLine="525" w:firstLineChars="250"/>
        <w:rPr>
          <w:color w:val="auto"/>
          <w:szCs w:val="21"/>
          <w:highlight w:val="none"/>
        </w:rPr>
      </w:pPr>
      <w:r>
        <w:rPr>
          <w:rFonts w:hint="eastAsia"/>
          <w:color w:val="auto"/>
          <w:szCs w:val="21"/>
          <w:highlight w:val="none"/>
        </w:rPr>
        <w:t>（一）电子响应文件提交截止时间：同扬州市政府采购服务商城平台报名截止时间。</w:t>
      </w:r>
    </w:p>
    <w:p w14:paraId="1E71780A">
      <w:pPr>
        <w:spacing w:line="360" w:lineRule="auto"/>
        <w:ind w:firstLine="525" w:firstLineChars="250"/>
        <w:rPr>
          <w:color w:val="auto"/>
          <w:szCs w:val="21"/>
          <w:highlight w:val="none"/>
        </w:rPr>
      </w:pPr>
      <w:r>
        <w:rPr>
          <w:rFonts w:hint="eastAsia"/>
          <w:color w:val="auto"/>
          <w:szCs w:val="21"/>
          <w:highlight w:val="none"/>
        </w:rPr>
        <w:t>（二）纸质响应文件提交截止时间：2026年</w:t>
      </w:r>
      <w:r>
        <w:rPr>
          <w:rFonts w:hint="eastAsia"/>
          <w:color w:val="auto"/>
          <w:szCs w:val="21"/>
          <w:highlight w:val="none"/>
          <w:lang w:val="en-US" w:eastAsia="zh-CN"/>
        </w:rPr>
        <w:t>3</w:t>
      </w:r>
      <w:r>
        <w:rPr>
          <w:rFonts w:hint="eastAsia"/>
          <w:color w:val="auto"/>
          <w:szCs w:val="21"/>
          <w:highlight w:val="none"/>
        </w:rPr>
        <w:t>月</w:t>
      </w:r>
      <w:r>
        <w:rPr>
          <w:rFonts w:hint="eastAsia"/>
          <w:color w:val="auto"/>
          <w:szCs w:val="21"/>
          <w:highlight w:val="none"/>
          <w:lang w:val="en-US" w:eastAsia="zh-CN"/>
        </w:rPr>
        <w:t>27</w:t>
      </w:r>
      <w:r>
        <w:rPr>
          <w:rFonts w:hint="eastAsia"/>
          <w:color w:val="auto"/>
          <w:szCs w:val="21"/>
          <w:highlight w:val="none"/>
        </w:rPr>
        <w:t xml:space="preserve">日 </w:t>
      </w:r>
      <w:r>
        <w:rPr>
          <w:rFonts w:hint="eastAsia"/>
          <w:color w:val="auto"/>
          <w:szCs w:val="21"/>
          <w:highlight w:val="none"/>
          <w:lang w:eastAsia="zh-CN"/>
        </w:rPr>
        <w:t>上午</w:t>
      </w:r>
      <w:r>
        <w:rPr>
          <w:rFonts w:hint="eastAsia"/>
          <w:color w:val="auto"/>
          <w:szCs w:val="21"/>
          <w:highlight w:val="none"/>
          <w:lang w:val="en-US" w:eastAsia="zh-CN"/>
        </w:rPr>
        <w:t>9</w:t>
      </w:r>
      <w:r>
        <w:rPr>
          <w:rFonts w:hint="eastAsia"/>
          <w:color w:val="auto"/>
          <w:szCs w:val="21"/>
          <w:highlight w:val="none"/>
        </w:rPr>
        <w:t>:</w:t>
      </w:r>
      <w:r>
        <w:rPr>
          <w:rFonts w:hint="eastAsia"/>
          <w:color w:val="auto"/>
          <w:szCs w:val="21"/>
          <w:highlight w:val="none"/>
          <w:lang w:val="en-US" w:eastAsia="zh-CN"/>
        </w:rPr>
        <w:t>30</w:t>
      </w:r>
      <w:r>
        <w:rPr>
          <w:rFonts w:hint="eastAsia"/>
          <w:color w:val="auto"/>
          <w:szCs w:val="21"/>
          <w:highlight w:val="none"/>
        </w:rPr>
        <w:t>。</w:t>
      </w:r>
    </w:p>
    <w:p w14:paraId="4F7D3A23">
      <w:pPr>
        <w:spacing w:line="360" w:lineRule="auto"/>
        <w:ind w:firstLine="525" w:firstLineChars="250"/>
        <w:rPr>
          <w:color w:val="auto"/>
          <w:szCs w:val="21"/>
          <w:highlight w:val="none"/>
        </w:rPr>
      </w:pPr>
      <w:r>
        <w:rPr>
          <w:rFonts w:hint="eastAsia"/>
          <w:color w:val="auto"/>
          <w:szCs w:val="21"/>
          <w:highlight w:val="none"/>
        </w:rPr>
        <w:t>（三）电子文件提交地点：扬州市政府采购服务商城。</w:t>
      </w:r>
    </w:p>
    <w:p w14:paraId="57208D90">
      <w:pPr>
        <w:spacing w:line="360" w:lineRule="auto"/>
        <w:ind w:firstLine="525" w:firstLineChars="250"/>
        <w:rPr>
          <w:color w:val="auto"/>
          <w:szCs w:val="21"/>
          <w:highlight w:val="none"/>
        </w:rPr>
      </w:pPr>
      <w:r>
        <w:rPr>
          <w:rFonts w:hint="eastAsia"/>
          <w:color w:val="auto"/>
          <w:szCs w:val="21"/>
          <w:highlight w:val="none"/>
        </w:rPr>
        <w:t>（四）纸质文件提交地点：江苏苏维工程管理有限公司三楼东开标室（扬州市翠岗路48号）。</w:t>
      </w:r>
    </w:p>
    <w:p w14:paraId="77C5A14E">
      <w:pPr>
        <w:spacing w:after="156" w:line="360" w:lineRule="auto"/>
        <w:ind w:firstLine="413" w:firstLineChars="196"/>
        <w:rPr>
          <w:b/>
          <w:bCs/>
          <w:color w:val="auto"/>
          <w:szCs w:val="21"/>
          <w:highlight w:val="none"/>
        </w:rPr>
      </w:pPr>
      <w:r>
        <w:rPr>
          <w:rFonts w:hint="eastAsia"/>
          <w:b/>
          <w:bCs/>
          <w:color w:val="auto"/>
          <w:szCs w:val="21"/>
          <w:highlight w:val="none"/>
        </w:rPr>
        <w:t>五、谈判响应文件开启信息</w:t>
      </w:r>
    </w:p>
    <w:p w14:paraId="339BB516">
      <w:pPr>
        <w:spacing w:after="156" w:line="360" w:lineRule="auto"/>
        <w:ind w:firstLine="411" w:firstLineChars="196"/>
        <w:rPr>
          <w:color w:val="auto"/>
          <w:szCs w:val="21"/>
          <w:highlight w:val="none"/>
        </w:rPr>
      </w:pPr>
      <w:r>
        <w:rPr>
          <w:rFonts w:hint="eastAsia"/>
          <w:color w:val="auto"/>
          <w:szCs w:val="21"/>
          <w:highlight w:val="none"/>
        </w:rPr>
        <w:t>（一）响应文件开启时间：2026年</w:t>
      </w:r>
      <w:r>
        <w:rPr>
          <w:rFonts w:hint="eastAsia"/>
          <w:color w:val="auto"/>
          <w:szCs w:val="21"/>
          <w:highlight w:val="none"/>
          <w:lang w:val="en-US" w:eastAsia="zh-CN"/>
        </w:rPr>
        <w:t>3</w:t>
      </w:r>
      <w:r>
        <w:rPr>
          <w:rFonts w:hint="eastAsia"/>
          <w:color w:val="auto"/>
          <w:szCs w:val="21"/>
          <w:highlight w:val="none"/>
        </w:rPr>
        <w:t>月</w:t>
      </w:r>
      <w:r>
        <w:rPr>
          <w:rFonts w:hint="eastAsia"/>
          <w:color w:val="auto"/>
          <w:szCs w:val="21"/>
          <w:highlight w:val="none"/>
          <w:lang w:val="en-US" w:eastAsia="zh-CN"/>
        </w:rPr>
        <w:t>27</w:t>
      </w:r>
      <w:r>
        <w:rPr>
          <w:rFonts w:hint="eastAsia"/>
          <w:color w:val="auto"/>
          <w:szCs w:val="21"/>
          <w:highlight w:val="none"/>
        </w:rPr>
        <w:t xml:space="preserve">日 </w:t>
      </w:r>
      <w:r>
        <w:rPr>
          <w:rFonts w:hint="eastAsia"/>
          <w:color w:val="auto"/>
          <w:szCs w:val="21"/>
          <w:highlight w:val="none"/>
          <w:lang w:eastAsia="zh-CN"/>
        </w:rPr>
        <w:t>上午</w:t>
      </w:r>
      <w:r>
        <w:rPr>
          <w:rFonts w:hint="eastAsia"/>
          <w:color w:val="auto"/>
          <w:szCs w:val="21"/>
          <w:highlight w:val="none"/>
          <w:lang w:val="en-US" w:eastAsia="zh-CN"/>
        </w:rPr>
        <w:t>9</w:t>
      </w:r>
      <w:r>
        <w:rPr>
          <w:rFonts w:hint="eastAsia"/>
          <w:color w:val="auto"/>
          <w:szCs w:val="21"/>
          <w:highlight w:val="none"/>
        </w:rPr>
        <w:t>:</w:t>
      </w:r>
      <w:r>
        <w:rPr>
          <w:rFonts w:hint="eastAsia"/>
          <w:color w:val="auto"/>
          <w:szCs w:val="21"/>
          <w:highlight w:val="none"/>
          <w:lang w:val="en-US" w:eastAsia="zh-CN"/>
        </w:rPr>
        <w:t>30</w:t>
      </w:r>
      <w:r>
        <w:rPr>
          <w:rFonts w:hint="eastAsia"/>
          <w:color w:val="auto"/>
          <w:szCs w:val="21"/>
          <w:highlight w:val="none"/>
        </w:rPr>
        <w:t>。</w:t>
      </w:r>
    </w:p>
    <w:p w14:paraId="6DA522AA">
      <w:pPr>
        <w:spacing w:line="360" w:lineRule="auto"/>
        <w:ind w:firstLine="420" w:firstLineChars="200"/>
        <w:rPr>
          <w:color w:val="auto"/>
          <w:szCs w:val="21"/>
          <w:highlight w:val="none"/>
        </w:rPr>
      </w:pPr>
      <w:r>
        <w:rPr>
          <w:rFonts w:hint="eastAsia"/>
          <w:color w:val="auto"/>
          <w:szCs w:val="21"/>
          <w:highlight w:val="none"/>
        </w:rPr>
        <w:t>（二）响应文件开启地点：江苏苏维工程管理有限公司（扬州市翠岗路48号）三楼评标室。</w:t>
      </w:r>
    </w:p>
    <w:p w14:paraId="0FC4A184">
      <w:pPr>
        <w:spacing w:line="360" w:lineRule="auto"/>
        <w:ind w:firstLine="420" w:firstLineChars="200"/>
        <w:rPr>
          <w:color w:val="auto"/>
          <w:szCs w:val="21"/>
          <w:highlight w:val="none"/>
        </w:rPr>
      </w:pPr>
      <w:r>
        <w:rPr>
          <w:rFonts w:hint="eastAsia"/>
          <w:color w:val="auto"/>
          <w:szCs w:val="21"/>
          <w:highlight w:val="none"/>
        </w:rPr>
        <w:t>（三）谈判地点：江苏苏维工程管理有限公司（扬州市翠岗路48号）三楼评标室。</w:t>
      </w:r>
    </w:p>
    <w:p w14:paraId="6E5283D0">
      <w:pPr>
        <w:spacing w:line="360" w:lineRule="auto"/>
        <w:ind w:firstLine="422" w:firstLineChars="200"/>
        <w:rPr>
          <w:b/>
          <w:bCs/>
          <w:color w:val="auto"/>
          <w:szCs w:val="21"/>
          <w:highlight w:val="none"/>
        </w:rPr>
      </w:pPr>
      <w:r>
        <w:rPr>
          <w:rFonts w:hint="eastAsia"/>
          <w:b/>
          <w:bCs/>
          <w:color w:val="auto"/>
          <w:szCs w:val="21"/>
          <w:highlight w:val="none"/>
        </w:rPr>
        <w:t>六、本次谈判采购联系事项</w:t>
      </w:r>
    </w:p>
    <w:p w14:paraId="7DF0F3B4">
      <w:pPr>
        <w:spacing w:line="360" w:lineRule="auto"/>
        <w:ind w:firstLine="420" w:firstLineChars="200"/>
        <w:rPr>
          <w:rFonts w:ascii="宋体" w:hAnsi="宋体" w:cs="宋体"/>
          <w:color w:val="auto"/>
          <w:szCs w:val="21"/>
          <w:highlight w:val="none"/>
        </w:rPr>
      </w:pPr>
      <w:r>
        <w:rPr>
          <w:rFonts w:hint="eastAsia"/>
          <w:color w:val="auto"/>
          <w:szCs w:val="21"/>
          <w:highlight w:val="none"/>
        </w:rPr>
        <w:t>（一）采购人：</w:t>
      </w:r>
      <w:r>
        <w:rPr>
          <w:rFonts w:hint="eastAsia" w:ascii="宋体" w:hAnsi="宋体"/>
          <w:color w:val="auto"/>
          <w:szCs w:val="21"/>
          <w:highlight w:val="none"/>
        </w:rPr>
        <w:t>扬州市翠岗中学</w:t>
      </w:r>
      <w:r>
        <w:rPr>
          <w:rFonts w:hint="eastAsia" w:ascii="宋体" w:hAnsi="宋体" w:cs="宋体"/>
          <w:color w:val="auto"/>
          <w:szCs w:val="21"/>
          <w:highlight w:val="none"/>
        </w:rPr>
        <w:t>　</w:t>
      </w:r>
    </w:p>
    <w:p w14:paraId="1A58AC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联系人:  宰习喜</w:t>
      </w:r>
    </w:p>
    <w:p w14:paraId="3986CD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电话： </w:t>
      </w:r>
      <w:r>
        <w:rPr>
          <w:rFonts w:ascii="宋体" w:hAnsi="宋体" w:cs="宋体"/>
          <w:color w:val="auto"/>
          <w:szCs w:val="21"/>
          <w:highlight w:val="none"/>
        </w:rPr>
        <w:t>0514-87952509</w:t>
      </w:r>
    </w:p>
    <w:p w14:paraId="60B74F1F">
      <w:pPr>
        <w:spacing w:line="360" w:lineRule="auto"/>
        <w:ind w:firstLine="420" w:firstLineChars="200"/>
        <w:rPr>
          <w:color w:val="auto"/>
          <w:szCs w:val="21"/>
          <w:highlight w:val="none"/>
        </w:rPr>
      </w:pPr>
      <w:r>
        <w:rPr>
          <w:rFonts w:hint="eastAsia"/>
          <w:color w:val="auto"/>
          <w:szCs w:val="21"/>
          <w:highlight w:val="none"/>
        </w:rPr>
        <w:t>（二）采购代理机构：江苏苏维工程管理有限公司</w:t>
      </w:r>
    </w:p>
    <w:p w14:paraId="09C0E967">
      <w:pPr>
        <w:spacing w:line="360" w:lineRule="auto"/>
        <w:ind w:firstLine="420" w:firstLineChars="200"/>
        <w:rPr>
          <w:color w:val="auto"/>
          <w:szCs w:val="21"/>
          <w:highlight w:val="none"/>
        </w:rPr>
      </w:pPr>
      <w:r>
        <w:rPr>
          <w:rFonts w:hint="eastAsia"/>
          <w:color w:val="auto"/>
          <w:szCs w:val="21"/>
          <w:highlight w:val="none"/>
        </w:rPr>
        <w:t>联系人：缪晓庆</w:t>
      </w:r>
    </w:p>
    <w:p w14:paraId="2AC13392">
      <w:pPr>
        <w:spacing w:line="360" w:lineRule="auto"/>
        <w:ind w:firstLine="420" w:firstLineChars="200"/>
        <w:rPr>
          <w:color w:val="auto"/>
          <w:szCs w:val="21"/>
          <w:highlight w:val="none"/>
        </w:rPr>
      </w:pPr>
      <w:r>
        <w:rPr>
          <w:rFonts w:hint="eastAsia"/>
          <w:color w:val="auto"/>
          <w:szCs w:val="21"/>
          <w:highlight w:val="none"/>
        </w:rPr>
        <w:t>联系电话：0514-87982240</w:t>
      </w:r>
    </w:p>
    <w:p w14:paraId="69A090E8">
      <w:pPr>
        <w:spacing w:line="360" w:lineRule="auto"/>
        <w:ind w:firstLine="420" w:firstLineChars="200"/>
        <w:rPr>
          <w:color w:val="auto"/>
          <w:szCs w:val="21"/>
          <w:highlight w:val="none"/>
        </w:rPr>
      </w:pPr>
      <w:r>
        <w:rPr>
          <w:rFonts w:hint="eastAsia"/>
          <w:color w:val="auto"/>
          <w:szCs w:val="21"/>
          <w:highlight w:val="none"/>
        </w:rPr>
        <w:t>办公地址：扬州市翠岗路48号</w:t>
      </w:r>
    </w:p>
    <w:p w14:paraId="44AB8ECE">
      <w:pPr>
        <w:spacing w:line="360" w:lineRule="auto"/>
        <w:ind w:firstLine="422" w:firstLineChars="200"/>
        <w:rPr>
          <w:b/>
          <w:color w:val="auto"/>
          <w:szCs w:val="21"/>
          <w:highlight w:val="none"/>
        </w:rPr>
      </w:pPr>
      <w:r>
        <w:rPr>
          <w:rFonts w:hint="eastAsia"/>
          <w:b/>
          <w:bCs/>
          <w:color w:val="auto"/>
          <w:szCs w:val="21"/>
          <w:highlight w:val="none"/>
        </w:rPr>
        <w:t>七、本次谈判响应文件制作份数要求</w:t>
      </w:r>
    </w:p>
    <w:p w14:paraId="76D2CFCF">
      <w:pPr>
        <w:tabs>
          <w:tab w:val="left" w:pos="900"/>
        </w:tabs>
        <w:spacing w:after="156" w:line="360" w:lineRule="auto"/>
        <w:ind w:firstLine="417" w:firstLineChars="199"/>
        <w:rPr>
          <w:rFonts w:cs="宋体"/>
          <w:color w:val="auto"/>
          <w:szCs w:val="21"/>
          <w:highlight w:val="none"/>
        </w:rPr>
      </w:pPr>
      <w:r>
        <w:rPr>
          <w:rFonts w:hint="eastAsia" w:cs="宋体"/>
          <w:color w:val="auto"/>
          <w:szCs w:val="21"/>
          <w:highlight w:val="none"/>
        </w:rPr>
        <w:t>响应文件份数：线下提交纸质版一式三份(壹份正本、贰份副本)，平台线上报名时需上传盖章后的电子文件一份（电子文件内容应与纸质文件正本一致，如不一致以线上电子文件为准。副本可为正本的复印件，应与正本一致，如副本与正本出现不一致情况以正本为准）。采购过程中采购人将以平台的线上资料为准，作为评判依据。供应商制作的响应文件电子文件、纸质版正本中，须按照采购文件规定签字、盖章。</w:t>
      </w:r>
    </w:p>
    <w:p w14:paraId="4F302868">
      <w:pPr>
        <w:tabs>
          <w:tab w:val="left" w:pos="900"/>
        </w:tabs>
        <w:spacing w:after="156" w:line="360" w:lineRule="auto"/>
        <w:ind w:firstLine="420" w:firstLineChars="199"/>
        <w:rPr>
          <w:b/>
          <w:bCs/>
          <w:color w:val="auto"/>
          <w:szCs w:val="21"/>
          <w:highlight w:val="none"/>
        </w:rPr>
      </w:pPr>
      <w:r>
        <w:rPr>
          <w:rFonts w:hint="eastAsia"/>
          <w:b/>
          <w:bCs/>
          <w:color w:val="auto"/>
          <w:szCs w:val="21"/>
          <w:highlight w:val="none"/>
        </w:rPr>
        <w:t>八</w:t>
      </w:r>
      <w:r>
        <w:rPr>
          <w:rFonts w:hint="eastAsia"/>
          <w:b/>
          <w:color w:val="auto"/>
          <w:szCs w:val="21"/>
          <w:highlight w:val="none"/>
        </w:rPr>
        <w:t>、</w:t>
      </w:r>
      <w:r>
        <w:rPr>
          <w:rFonts w:hint="eastAsia"/>
          <w:b/>
          <w:bCs/>
          <w:color w:val="auto"/>
          <w:szCs w:val="21"/>
          <w:highlight w:val="none"/>
        </w:rPr>
        <w:t>其他说明事项：</w:t>
      </w:r>
    </w:p>
    <w:p w14:paraId="741456F3">
      <w:pPr>
        <w:spacing w:line="360" w:lineRule="auto"/>
        <w:ind w:firstLine="420" w:firstLineChars="200"/>
        <w:rPr>
          <w:rFonts w:cs="宋体"/>
          <w:i/>
          <w:iCs/>
          <w:color w:val="auto"/>
          <w:szCs w:val="21"/>
          <w:highlight w:val="none"/>
          <w:u w:val="single"/>
        </w:rPr>
      </w:pPr>
      <w:r>
        <w:rPr>
          <w:rFonts w:hint="eastAsia" w:cs="宋体"/>
          <w:color w:val="auto"/>
          <w:szCs w:val="21"/>
          <w:highlight w:val="none"/>
        </w:rPr>
        <w:t>（一）</w:t>
      </w:r>
      <w:r>
        <w:rPr>
          <w:rFonts w:hint="eastAsia" w:cs="宋体"/>
          <w:i/>
          <w:iCs/>
          <w:color w:val="auto"/>
          <w:szCs w:val="21"/>
          <w:highlight w:val="none"/>
          <w:u w:val="single"/>
        </w:rPr>
        <w:t>本谈判采购文件中斜体下划线部分为实质性响应条件，为必须遵守的条件，如不满足将作无效响应文件处理。</w:t>
      </w:r>
    </w:p>
    <w:p w14:paraId="6E2049D7">
      <w:pPr>
        <w:spacing w:line="360" w:lineRule="auto"/>
        <w:ind w:firstLine="420" w:firstLineChars="200"/>
        <w:rPr>
          <w:rFonts w:cs="宋体"/>
          <w:color w:val="auto"/>
          <w:szCs w:val="21"/>
          <w:highlight w:val="none"/>
        </w:rPr>
      </w:pPr>
      <w:r>
        <w:rPr>
          <w:rFonts w:hint="eastAsia" w:cs="宋体"/>
          <w:color w:val="auto"/>
          <w:szCs w:val="21"/>
          <w:highlight w:val="none"/>
        </w:rPr>
        <w:t>（二）谈判采购文件在“扬州市政府采购服务商城”“扬州市翠岗中学网站”上下载，供应商如确定参加谈判，请在扬州市政府采购服务商城进行线上报名，并如实填写《供应商参加谈判确认函》并按要求回复（电子邮箱：3498317155@qq.com，联系电话：0514-87982240），同时需与采购代理机构经办人确认是否收到《供应商参加谈判确认函》，回复接收截止时间：2026年</w:t>
      </w:r>
      <w:r>
        <w:rPr>
          <w:rFonts w:hint="eastAsia" w:cs="宋体"/>
          <w:color w:val="auto"/>
          <w:szCs w:val="21"/>
          <w:highlight w:val="none"/>
          <w:lang w:val="en-US" w:eastAsia="zh-CN"/>
        </w:rPr>
        <w:t>3</w:t>
      </w:r>
      <w:r>
        <w:rPr>
          <w:rFonts w:hint="eastAsia" w:cs="宋体"/>
          <w:color w:val="auto"/>
          <w:szCs w:val="21"/>
          <w:highlight w:val="none"/>
        </w:rPr>
        <w:t>月</w:t>
      </w:r>
      <w:r>
        <w:rPr>
          <w:rFonts w:hint="eastAsia" w:cs="宋体"/>
          <w:color w:val="auto"/>
          <w:szCs w:val="21"/>
          <w:highlight w:val="none"/>
          <w:lang w:val="en-US" w:eastAsia="zh-CN"/>
        </w:rPr>
        <w:t>26</w:t>
      </w:r>
      <w:r>
        <w:rPr>
          <w:rFonts w:hint="eastAsia" w:cs="宋体"/>
          <w:color w:val="auto"/>
          <w:szCs w:val="21"/>
          <w:highlight w:val="none"/>
        </w:rPr>
        <w:t>日</w:t>
      </w:r>
      <w:r>
        <w:rPr>
          <w:rFonts w:hint="eastAsia" w:cs="宋体"/>
          <w:color w:val="auto"/>
          <w:szCs w:val="21"/>
          <w:highlight w:val="none"/>
          <w:lang w:val="en-US" w:eastAsia="zh-CN"/>
        </w:rPr>
        <w:t>10</w:t>
      </w:r>
      <w:r>
        <w:rPr>
          <w:rFonts w:hint="eastAsia" w:cs="宋体"/>
          <w:color w:val="auto"/>
          <w:szCs w:val="21"/>
          <w:highlight w:val="none"/>
        </w:rPr>
        <w:t>:</w:t>
      </w:r>
      <w:r>
        <w:rPr>
          <w:rFonts w:hint="eastAsia" w:cs="宋体"/>
          <w:color w:val="auto"/>
          <w:szCs w:val="21"/>
          <w:highlight w:val="none"/>
          <w:lang w:val="en-US" w:eastAsia="zh-CN"/>
        </w:rPr>
        <w:t>00</w:t>
      </w:r>
      <w:r>
        <w:rPr>
          <w:rFonts w:hint="eastAsia" w:cs="宋体"/>
          <w:color w:val="auto"/>
          <w:szCs w:val="21"/>
          <w:highlight w:val="none"/>
        </w:rPr>
        <w:t>。如供应商未按上述要求去做，将自行承担所产生的风险。</w:t>
      </w:r>
    </w:p>
    <w:p w14:paraId="130043B1">
      <w:pPr>
        <w:spacing w:line="360" w:lineRule="auto"/>
        <w:ind w:firstLine="420" w:firstLineChars="200"/>
        <w:rPr>
          <w:rFonts w:cs="宋体"/>
          <w:color w:val="auto"/>
          <w:szCs w:val="21"/>
          <w:highlight w:val="none"/>
        </w:rPr>
      </w:pPr>
      <w:r>
        <w:rPr>
          <w:rFonts w:hint="eastAsia" w:cs="宋体"/>
          <w:color w:val="auto"/>
          <w:szCs w:val="21"/>
          <w:highlight w:val="none"/>
        </w:rPr>
        <w:t>（三）本项目在扬州市政府采购服务商城（https://cg.zbj.com/）、扬州市翠岗中学网站发布公告。凡有意参加本次采购的供应商，请于公告发布之日起至报名截止时间之前，在扬州市政府采购服务商城下载查看本项目需求文件以及变更公告等在规定的响应文件提交截止时间前公布的所有项目资料，无论供应商下载查看与否，均视为已知晓所有关于本项目的实质性要求内容。</w:t>
      </w:r>
    </w:p>
    <w:p w14:paraId="7CFA25FB">
      <w:pPr>
        <w:spacing w:line="360" w:lineRule="auto"/>
        <w:ind w:firstLine="422" w:firstLineChars="200"/>
        <w:rPr>
          <w:rFonts w:cs="宋体"/>
          <w:b/>
          <w:bCs/>
          <w:color w:val="auto"/>
          <w:szCs w:val="21"/>
          <w:highlight w:val="none"/>
        </w:rPr>
      </w:pPr>
      <w:r>
        <w:rPr>
          <w:rFonts w:hint="eastAsia" w:cs="宋体"/>
          <w:b/>
          <w:bCs/>
          <w:color w:val="auto"/>
          <w:szCs w:val="21"/>
          <w:highlight w:val="none"/>
        </w:rPr>
        <w:t>（四）供应商须满足以下三种条件，其响应文件才被接受：（1）平台线上报名并上传响应文件；（2）按时递交了响应文件；（3）按时报名签到。</w:t>
      </w:r>
    </w:p>
    <w:p w14:paraId="49D5D7EA">
      <w:pPr>
        <w:spacing w:line="360" w:lineRule="auto"/>
        <w:ind w:firstLine="420" w:firstLineChars="200"/>
        <w:rPr>
          <w:rFonts w:cs="宋体"/>
          <w:color w:val="auto"/>
          <w:szCs w:val="21"/>
          <w:highlight w:val="none"/>
        </w:rPr>
      </w:pPr>
      <w:r>
        <w:rPr>
          <w:rFonts w:hint="eastAsia" w:cs="宋体"/>
          <w:color w:val="auto"/>
          <w:szCs w:val="21"/>
          <w:highlight w:val="none"/>
        </w:rPr>
        <w:t>（五）供应商如对采购文件有疑问，请咨询采购人或代理机构。如对采购流程有疑问，请咨询扬州市政府采购服务商城运营（客服热线400-023-1111，供应商指导QQ群： 755712717）。</w:t>
      </w:r>
    </w:p>
    <w:p w14:paraId="70C06748">
      <w:pPr>
        <w:spacing w:line="360" w:lineRule="auto"/>
        <w:jc w:val="right"/>
        <w:rPr>
          <w:color w:val="auto"/>
          <w:szCs w:val="21"/>
          <w:highlight w:val="none"/>
        </w:rPr>
      </w:pPr>
      <w:r>
        <w:rPr>
          <w:rFonts w:hint="eastAsia"/>
          <w:color w:val="auto"/>
          <w:szCs w:val="21"/>
          <w:highlight w:val="none"/>
        </w:rPr>
        <w:t>江苏苏维工程管理有限公司</w:t>
      </w:r>
    </w:p>
    <w:p w14:paraId="6C022FE3">
      <w:pPr>
        <w:spacing w:line="360" w:lineRule="auto"/>
        <w:jc w:val="right"/>
        <w:rPr>
          <w:color w:val="auto"/>
          <w:szCs w:val="21"/>
          <w:highlight w:val="none"/>
        </w:rPr>
      </w:pPr>
      <w:r>
        <w:rPr>
          <w:rFonts w:hint="eastAsia"/>
          <w:color w:val="auto"/>
          <w:szCs w:val="21"/>
          <w:highlight w:val="none"/>
        </w:rPr>
        <w:t>2026年</w:t>
      </w:r>
      <w:r>
        <w:rPr>
          <w:rFonts w:hint="eastAsia"/>
          <w:color w:val="auto"/>
          <w:szCs w:val="21"/>
          <w:highlight w:val="none"/>
          <w:lang w:val="en-US" w:eastAsia="zh-CN"/>
        </w:rPr>
        <w:t>3</w:t>
      </w:r>
      <w:r>
        <w:rPr>
          <w:rFonts w:hint="eastAsia"/>
          <w:color w:val="auto"/>
          <w:szCs w:val="21"/>
          <w:highlight w:val="none"/>
        </w:rPr>
        <w:t>月</w:t>
      </w:r>
      <w:r>
        <w:rPr>
          <w:rFonts w:hint="eastAsia"/>
          <w:color w:val="auto"/>
          <w:szCs w:val="21"/>
          <w:highlight w:val="none"/>
          <w:lang w:val="en-US" w:eastAsia="zh-CN"/>
        </w:rPr>
        <w:t>17</w:t>
      </w:r>
      <w:r>
        <w:rPr>
          <w:rFonts w:hint="eastAsia"/>
          <w:color w:val="auto"/>
          <w:szCs w:val="21"/>
          <w:highlight w:val="none"/>
        </w:rPr>
        <w:t>日</w:t>
      </w:r>
    </w:p>
    <w:p w14:paraId="62352F47">
      <w:pPr>
        <w:rPr>
          <w:color w:val="auto"/>
          <w:szCs w:val="21"/>
          <w:highlight w:val="none"/>
        </w:rPr>
      </w:pPr>
    </w:p>
    <w:bookmarkEnd w:id="4"/>
    <w:p w14:paraId="4B782EF5">
      <w:pPr>
        <w:rPr>
          <w:color w:val="auto"/>
          <w:highlight w:val="none"/>
        </w:rPr>
        <w:sectPr>
          <w:footerReference r:id="rId8" w:type="default"/>
          <w:pgSz w:w="11906" w:h="16838"/>
          <w:pgMar w:top="1440" w:right="1800" w:bottom="1440" w:left="1800" w:header="851" w:footer="992" w:gutter="0"/>
          <w:pgNumType w:start="3"/>
          <w:cols w:space="720" w:num="1"/>
          <w:docGrid w:type="lines" w:linePitch="312" w:charSpace="0"/>
        </w:sectPr>
      </w:pPr>
    </w:p>
    <w:p w14:paraId="6CF51746">
      <w:pPr>
        <w:pStyle w:val="4"/>
        <w:jc w:val="center"/>
        <w:rPr>
          <w:color w:val="auto"/>
          <w:sz w:val="36"/>
          <w:highlight w:val="none"/>
        </w:rPr>
      </w:pPr>
      <w:bookmarkStart w:id="7" w:name="_Toc27962"/>
      <w:bookmarkStart w:id="8" w:name="_Toc13563"/>
      <w:bookmarkStart w:id="9" w:name="_Toc497145840"/>
      <w:r>
        <w:rPr>
          <w:rFonts w:hint="eastAsia"/>
          <w:color w:val="auto"/>
          <w:sz w:val="36"/>
          <w:highlight w:val="none"/>
        </w:rPr>
        <w:t>第二章 谈判须知</w:t>
      </w:r>
      <w:bookmarkEnd w:id="7"/>
      <w:bookmarkEnd w:id="8"/>
      <w:bookmarkEnd w:id="9"/>
    </w:p>
    <w:p w14:paraId="6DAD6625">
      <w:pPr>
        <w:spacing w:line="360" w:lineRule="auto"/>
        <w:jc w:val="center"/>
        <w:rPr>
          <w:rFonts w:cs="宋体"/>
          <w:b/>
          <w:bCs/>
          <w:color w:val="auto"/>
          <w:szCs w:val="21"/>
          <w:highlight w:val="none"/>
        </w:rPr>
      </w:pPr>
      <w:bookmarkStart w:id="10" w:name="_Toc458694821"/>
      <w:bookmarkStart w:id="11" w:name="_Toc16938520"/>
      <w:bookmarkStart w:id="12" w:name="_Toc513029204"/>
      <w:bookmarkStart w:id="13" w:name="_Toc20823276"/>
      <w:r>
        <w:rPr>
          <w:rFonts w:hint="eastAsia" w:cs="宋体"/>
          <w:bCs/>
          <w:color w:val="auto"/>
          <w:szCs w:val="21"/>
          <w:highlight w:val="none"/>
        </w:rPr>
        <w:t>（参加谈判采购的供应商以下简称“谈判供应商”）</w:t>
      </w:r>
    </w:p>
    <w:bookmarkEnd w:id="10"/>
    <w:bookmarkEnd w:id="11"/>
    <w:bookmarkEnd w:id="12"/>
    <w:bookmarkEnd w:id="13"/>
    <w:p w14:paraId="5CE3D41E">
      <w:pPr>
        <w:tabs>
          <w:tab w:val="left" w:pos="900"/>
        </w:tabs>
        <w:spacing w:after="156" w:line="360" w:lineRule="auto"/>
        <w:ind w:firstLine="422" w:firstLineChars="200"/>
        <w:rPr>
          <w:b/>
          <w:color w:val="auto"/>
          <w:szCs w:val="21"/>
          <w:highlight w:val="none"/>
        </w:rPr>
      </w:pPr>
      <w:bookmarkStart w:id="14" w:name="OLE_LINK69"/>
      <w:bookmarkEnd w:id="14"/>
      <w:r>
        <w:rPr>
          <w:rFonts w:hint="eastAsia"/>
          <w:b/>
          <w:color w:val="auto"/>
          <w:szCs w:val="21"/>
          <w:highlight w:val="none"/>
        </w:rPr>
        <w:t>一、总则</w:t>
      </w:r>
    </w:p>
    <w:p w14:paraId="79CE787E">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1、适用范围</w:t>
      </w:r>
    </w:p>
    <w:p w14:paraId="145E93EE">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1.1 本谈判采购文件（以下简称谈判采购文件）仅适用此项目。</w:t>
      </w:r>
    </w:p>
    <w:p w14:paraId="5F1F9F16">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2、项目采购方式</w:t>
      </w:r>
    </w:p>
    <w:p w14:paraId="20CFB98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本次采购采取谈判采购的方式。</w:t>
      </w:r>
    </w:p>
    <w:p w14:paraId="02C6BF64">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3、合格的谈判供应商</w:t>
      </w:r>
    </w:p>
    <w:p w14:paraId="1089633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3.1满足本谈判采购文件“谈判采购邀请”中合格谈判供应商资格要求的规定。</w:t>
      </w:r>
    </w:p>
    <w:p w14:paraId="39B9F98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3.2 满足本谈判采购文件实质性要求和条件的规定。</w:t>
      </w:r>
    </w:p>
    <w:p w14:paraId="529EA655">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4、参加谈判费用</w:t>
      </w:r>
    </w:p>
    <w:p w14:paraId="4F6A5E2E">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4.1参加谈判供应商应自行承担所有与参加谈判有关的费用。不论最终的成交结果如何，江苏苏维工程管理有限公司（以下简称代理机构） 在任何情况下均无义务和责任承担这些费用。</w:t>
      </w:r>
    </w:p>
    <w:p w14:paraId="4C1AD942">
      <w:pPr>
        <w:tabs>
          <w:tab w:val="left" w:pos="900"/>
        </w:tabs>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4.2</w:t>
      </w:r>
      <w:r>
        <w:rPr>
          <w:rFonts w:hint="eastAsia" w:ascii="宋体" w:hAnsi="宋体"/>
          <w:color w:val="auto"/>
          <w:szCs w:val="21"/>
          <w:highlight w:val="none"/>
        </w:rPr>
        <w:t>本次采购项目的招标代理服务费，在采购人和成交人完成合同签订后，由采购人一次性向招标代理机构支付代理服务费3000元整。</w:t>
      </w:r>
    </w:p>
    <w:p w14:paraId="459A0A89">
      <w:pPr>
        <w:tabs>
          <w:tab w:val="left" w:pos="900"/>
        </w:tabs>
        <w:spacing w:line="360" w:lineRule="auto"/>
        <w:ind w:firstLine="420" w:firstLineChars="200"/>
        <w:rPr>
          <w:color w:val="auto"/>
          <w:szCs w:val="21"/>
          <w:highlight w:val="none"/>
        </w:rPr>
      </w:pPr>
      <w:r>
        <w:rPr>
          <w:rFonts w:hint="eastAsia"/>
          <w:color w:val="auto"/>
          <w:szCs w:val="21"/>
          <w:highlight w:val="none"/>
        </w:rPr>
        <w:t>（1）代理服务费以人民币支付；</w:t>
      </w:r>
    </w:p>
    <w:p w14:paraId="0BA1DC4B">
      <w:pPr>
        <w:tabs>
          <w:tab w:val="left" w:pos="900"/>
        </w:tabs>
        <w:spacing w:line="360" w:lineRule="auto"/>
        <w:ind w:firstLine="420" w:firstLineChars="200"/>
        <w:rPr>
          <w:color w:val="auto"/>
          <w:szCs w:val="21"/>
          <w:highlight w:val="none"/>
        </w:rPr>
      </w:pPr>
      <w:r>
        <w:rPr>
          <w:rFonts w:hint="eastAsia"/>
          <w:color w:val="auto"/>
          <w:szCs w:val="21"/>
          <w:highlight w:val="none"/>
        </w:rPr>
        <w:t>（2）代理服务费一次性以电汇或转账等非现金形式支付。</w:t>
      </w:r>
    </w:p>
    <w:p w14:paraId="28C26AC2">
      <w:pPr>
        <w:tabs>
          <w:tab w:val="left" w:pos="900"/>
        </w:tabs>
        <w:spacing w:line="360" w:lineRule="auto"/>
        <w:ind w:firstLine="420" w:firstLineChars="200"/>
        <w:rPr>
          <w:color w:val="auto"/>
          <w:szCs w:val="21"/>
          <w:highlight w:val="none"/>
        </w:rPr>
      </w:pPr>
      <w:r>
        <w:rPr>
          <w:rFonts w:hint="eastAsia"/>
          <w:color w:val="auto"/>
          <w:szCs w:val="21"/>
          <w:highlight w:val="none"/>
        </w:rPr>
        <w:t>代理服务费开户银行：中国工商银行扬州雍华府支行</w:t>
      </w:r>
    </w:p>
    <w:p w14:paraId="13663458">
      <w:pPr>
        <w:tabs>
          <w:tab w:val="left" w:pos="900"/>
        </w:tabs>
        <w:spacing w:line="360" w:lineRule="auto"/>
        <w:ind w:firstLine="420" w:firstLineChars="200"/>
        <w:rPr>
          <w:color w:val="auto"/>
          <w:szCs w:val="21"/>
          <w:highlight w:val="none"/>
        </w:rPr>
      </w:pPr>
      <w:r>
        <w:rPr>
          <w:rFonts w:hint="eastAsia"/>
          <w:color w:val="auto"/>
          <w:szCs w:val="21"/>
          <w:highlight w:val="none"/>
        </w:rPr>
        <w:t>               开户名称：江苏苏维工程管理有限公司</w:t>
      </w:r>
    </w:p>
    <w:p w14:paraId="0E2B49E6">
      <w:pPr>
        <w:tabs>
          <w:tab w:val="left" w:pos="900"/>
        </w:tabs>
        <w:spacing w:line="360" w:lineRule="auto"/>
        <w:ind w:firstLine="420" w:firstLineChars="200"/>
        <w:rPr>
          <w:color w:val="auto"/>
          <w:szCs w:val="21"/>
          <w:highlight w:val="none"/>
        </w:rPr>
      </w:pPr>
      <w:r>
        <w:rPr>
          <w:rFonts w:hint="eastAsia"/>
          <w:color w:val="auto"/>
          <w:szCs w:val="21"/>
          <w:highlight w:val="none"/>
        </w:rPr>
        <w:t>               开户帐号：1108020819100000612</w:t>
      </w:r>
    </w:p>
    <w:p w14:paraId="5ACF5D28">
      <w:pPr>
        <w:tabs>
          <w:tab w:val="left" w:pos="900"/>
        </w:tabs>
        <w:spacing w:line="360" w:lineRule="auto"/>
        <w:ind w:firstLine="420" w:firstLineChars="200"/>
        <w:rPr>
          <w:color w:val="auto"/>
          <w:szCs w:val="21"/>
          <w:highlight w:val="none"/>
        </w:rPr>
      </w:pPr>
      <w:r>
        <w:rPr>
          <w:rFonts w:hint="eastAsia"/>
          <w:color w:val="auto"/>
          <w:szCs w:val="21"/>
          <w:highlight w:val="none"/>
        </w:rPr>
        <w:t>4.4专家评审费按《扬州市财政局关于进一步规范扬州市政府采购专家评审费标准的通知》（扬财购〔2020〕40号）执行。</w:t>
      </w:r>
    </w:p>
    <w:p w14:paraId="13CE9FB7">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5、谈判采购文件的约束力</w:t>
      </w:r>
    </w:p>
    <w:p w14:paraId="79BA3D3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供应商一旦下载了本谈判采购文件并决定参加谈判，即被认为接受了本谈判采购文件的规定和约束，并且视为自谈判采购公告期限届满之日起已经知道或应当知道自身权益是否受到了损害。</w:t>
      </w:r>
    </w:p>
    <w:p w14:paraId="163273C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6、</w:t>
      </w:r>
      <w:bookmarkStart w:id="15" w:name="_Toc16938527"/>
      <w:bookmarkStart w:id="16" w:name="_Toc513029211"/>
      <w:bookmarkStart w:id="17" w:name="_Toc20823283"/>
      <w:bookmarkStart w:id="18" w:name="_Toc462564070"/>
      <w:r>
        <w:rPr>
          <w:rFonts w:hint="eastAsia" w:cs="宋体"/>
          <w:color w:val="auto"/>
          <w:szCs w:val="21"/>
          <w:highlight w:val="none"/>
        </w:rPr>
        <w:t>谈判采购文件的</w:t>
      </w:r>
      <w:bookmarkEnd w:id="15"/>
      <w:bookmarkEnd w:id="16"/>
      <w:bookmarkEnd w:id="17"/>
      <w:bookmarkEnd w:id="18"/>
      <w:r>
        <w:rPr>
          <w:rFonts w:hint="eastAsia" w:cs="宋体"/>
          <w:color w:val="auto"/>
          <w:szCs w:val="21"/>
          <w:highlight w:val="none"/>
        </w:rPr>
        <w:t>询问及修改</w:t>
      </w:r>
    </w:p>
    <w:p w14:paraId="35093B7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任何要求对谈判采购文件进行询问的供应商，均应在提交首次响应文件截止时间2个工作日前按采购邀请中的通讯地址，向代理机构提出。提交首次响应文件截止之日前，代理机构可以对已发出的谈判采购文件进行必要的澄清或者修改，澄清或者修改的内容作为谈判采购文件的组成部分。澄清或者修改的内容可能影响响应文件编制的，代理机构将在提交首次响应文件截止时间至少2个工作日前，在“扬州市政府采购服务商城”“扬州市翠岗中学网站”上发布更正公告通知所有获取谈判采购文件的供应商。不足2个工作日的，代理机构应当顺延提交首次响应文件截止时间。</w:t>
      </w:r>
    </w:p>
    <w:p w14:paraId="4D21DCE5">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7、谈判采购文件的解释</w:t>
      </w:r>
    </w:p>
    <w:p w14:paraId="112A8E54">
      <w:pPr>
        <w:spacing w:line="360" w:lineRule="auto"/>
        <w:ind w:firstLine="420" w:firstLineChars="200"/>
        <w:rPr>
          <w:rFonts w:cs="宋体"/>
          <w:bCs/>
          <w:color w:val="auto"/>
          <w:szCs w:val="21"/>
          <w:highlight w:val="none"/>
        </w:rPr>
      </w:pPr>
      <w:r>
        <w:rPr>
          <w:rFonts w:hint="eastAsia" w:cs="宋体"/>
          <w:bCs/>
          <w:color w:val="auto"/>
          <w:szCs w:val="21"/>
          <w:highlight w:val="none"/>
        </w:rPr>
        <w:t>本谈判采购文件由代理机构负责解释。</w:t>
      </w:r>
    </w:p>
    <w:p w14:paraId="7264A28B">
      <w:pPr>
        <w:tabs>
          <w:tab w:val="left" w:pos="900"/>
        </w:tabs>
        <w:spacing w:line="360" w:lineRule="auto"/>
        <w:ind w:firstLine="422" w:firstLineChars="200"/>
        <w:rPr>
          <w:rFonts w:cs="宋体"/>
          <w:b/>
          <w:color w:val="auto"/>
          <w:szCs w:val="21"/>
          <w:highlight w:val="none"/>
        </w:rPr>
      </w:pPr>
      <w:bookmarkStart w:id="19" w:name="_Hlt26670345"/>
      <w:bookmarkEnd w:id="19"/>
      <w:bookmarkStart w:id="20" w:name="_Hlt26954832"/>
      <w:bookmarkEnd w:id="20"/>
      <w:bookmarkStart w:id="21" w:name="_Hlt26954828"/>
      <w:bookmarkEnd w:id="21"/>
      <w:bookmarkStart w:id="22" w:name="_Hlt26670354"/>
      <w:bookmarkEnd w:id="22"/>
      <w:bookmarkStart w:id="23" w:name="_Hlt26668969"/>
      <w:bookmarkEnd w:id="23"/>
      <w:bookmarkStart w:id="24" w:name="_Hlt26954830"/>
      <w:bookmarkEnd w:id="24"/>
      <w:bookmarkStart w:id="25" w:name="_Hlt26670348"/>
      <w:bookmarkEnd w:id="25"/>
      <w:bookmarkStart w:id="26" w:name="_Toc462564072"/>
      <w:bookmarkStart w:id="27" w:name="_Toc513029213"/>
      <w:bookmarkStart w:id="28" w:name="_Toc14577351"/>
      <w:bookmarkStart w:id="29" w:name="_Toc61149553"/>
      <w:r>
        <w:rPr>
          <w:rFonts w:hint="eastAsia" w:cs="宋体"/>
          <w:b/>
          <w:color w:val="auto"/>
          <w:szCs w:val="21"/>
          <w:highlight w:val="none"/>
        </w:rPr>
        <w:t>二、谈判响应文件的编制</w:t>
      </w:r>
      <w:bookmarkEnd w:id="26"/>
      <w:bookmarkEnd w:id="27"/>
      <w:bookmarkEnd w:id="28"/>
      <w:bookmarkEnd w:id="29"/>
    </w:p>
    <w:p w14:paraId="46C4F3FA">
      <w:pPr>
        <w:tabs>
          <w:tab w:val="left" w:pos="900"/>
        </w:tabs>
        <w:spacing w:line="360" w:lineRule="auto"/>
        <w:ind w:firstLine="420" w:firstLineChars="200"/>
        <w:rPr>
          <w:rFonts w:cs="宋体"/>
          <w:color w:val="auto"/>
          <w:szCs w:val="21"/>
          <w:highlight w:val="none"/>
        </w:rPr>
      </w:pPr>
      <w:bookmarkStart w:id="30" w:name="_Toc61149561"/>
      <w:bookmarkStart w:id="31" w:name="_Toc513029223"/>
      <w:bookmarkStart w:id="32" w:name="_Toc14577361"/>
      <w:r>
        <w:rPr>
          <w:rFonts w:hint="eastAsia" w:cs="宋体"/>
          <w:color w:val="auto"/>
          <w:szCs w:val="21"/>
          <w:highlight w:val="none"/>
        </w:rPr>
        <w:t>1、谈判响应文件份数和签署</w:t>
      </w:r>
      <w:bookmarkEnd w:id="30"/>
      <w:bookmarkEnd w:id="31"/>
      <w:bookmarkEnd w:id="32"/>
    </w:p>
    <w:p w14:paraId="047B8E64">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1.1谈判供应商应严格按照采购邀请要求准备谈判响应文件（以下简称响应文件），每份响应文件须清楚地标明“正本”或“副本”字样。</w:t>
      </w:r>
    </w:p>
    <w:p w14:paraId="6EC105E6">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响应文件的正本和所有的副本均需打印或复印。响应文件正本中，谈判采购文件要求提供原件的必须按照要求提供，文字材料需打印或用不褪色墨水书写，响应文件正本须经法定代表人或授权代表签字和加盖谈判供应商公章。本谈判采购文件所表述（指定）的公章是指刻有供应商法定名称的印章，不包括合同、财务、税务、发票等形式的业务专用章。</w:t>
      </w:r>
    </w:p>
    <w:p w14:paraId="4FD28223">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1.2 除谈判供应商对错处做必要修改外，响应文件不得行间插字、涂改或增删。如有修改错漏处，必须由响应文件签署人签字或盖章。</w:t>
      </w:r>
    </w:p>
    <w:p w14:paraId="2851C3B0">
      <w:pPr>
        <w:tabs>
          <w:tab w:val="left" w:pos="900"/>
        </w:tabs>
        <w:spacing w:line="360" w:lineRule="auto"/>
        <w:ind w:firstLine="420" w:firstLineChars="200"/>
        <w:rPr>
          <w:rFonts w:cs="宋体"/>
          <w:color w:val="auto"/>
          <w:szCs w:val="21"/>
          <w:highlight w:val="none"/>
        </w:rPr>
      </w:pPr>
      <w:bookmarkStart w:id="33" w:name="_Hlt26954834"/>
      <w:bookmarkEnd w:id="33"/>
      <w:bookmarkStart w:id="34" w:name="_Toc14577353"/>
      <w:bookmarkStart w:id="35" w:name="_Toc513029215"/>
      <w:bookmarkStart w:id="36" w:name="_Toc462564074"/>
      <w:bookmarkStart w:id="37" w:name="_Toc61149555"/>
      <w:bookmarkStart w:id="38" w:name="_Toc513029214"/>
      <w:bookmarkStart w:id="39" w:name="_Toc14577352"/>
      <w:bookmarkStart w:id="40" w:name="_Toc61149554"/>
      <w:bookmarkStart w:id="41" w:name="_Toc462564073"/>
      <w:r>
        <w:rPr>
          <w:rFonts w:hint="eastAsia" w:cs="宋体"/>
          <w:color w:val="auto"/>
          <w:szCs w:val="21"/>
          <w:highlight w:val="none"/>
        </w:rPr>
        <w:t>2、响应文件</w:t>
      </w:r>
      <w:bookmarkEnd w:id="34"/>
      <w:bookmarkEnd w:id="35"/>
      <w:bookmarkEnd w:id="36"/>
      <w:bookmarkEnd w:id="37"/>
      <w:r>
        <w:rPr>
          <w:rFonts w:hint="eastAsia" w:cs="宋体"/>
          <w:color w:val="auto"/>
          <w:szCs w:val="21"/>
          <w:highlight w:val="none"/>
        </w:rPr>
        <w:t>编制要求</w:t>
      </w:r>
    </w:p>
    <w:bookmarkEnd w:id="38"/>
    <w:bookmarkEnd w:id="39"/>
    <w:bookmarkEnd w:id="40"/>
    <w:bookmarkEnd w:id="41"/>
    <w:p w14:paraId="08CA3D55">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2.1谈判供应商提交的响应文件以及谈判供应商与代理机构及采购人就有关谈判的所有来往函电均应使用简体中文。谈判采购文件中既有中文也有外文的，以中文意义为准。</w:t>
      </w:r>
    </w:p>
    <w:p w14:paraId="6F5D9FCA">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2.2 除技术性能另有规定外，响应文件所使用的度量衡单位，均须采用国家法定计量单位。</w:t>
      </w:r>
    </w:p>
    <w:p w14:paraId="608FAD9E">
      <w:pPr>
        <w:tabs>
          <w:tab w:val="left" w:pos="900"/>
        </w:tabs>
        <w:spacing w:line="360" w:lineRule="auto"/>
        <w:ind w:firstLine="420" w:firstLineChars="200"/>
        <w:rPr>
          <w:rFonts w:cs="宋体"/>
          <w:color w:val="auto"/>
          <w:szCs w:val="21"/>
          <w:highlight w:val="none"/>
        </w:rPr>
      </w:pPr>
      <w:bookmarkStart w:id="42" w:name="_Hlt26670357"/>
      <w:bookmarkEnd w:id="42"/>
      <w:bookmarkStart w:id="43" w:name="_Hlt26954836"/>
      <w:bookmarkEnd w:id="43"/>
      <w:bookmarkStart w:id="44" w:name="_Toc14577357"/>
      <w:bookmarkStart w:id="45" w:name="_Toc61149558"/>
      <w:bookmarkStart w:id="46" w:name="_Toc513029219"/>
      <w:bookmarkStart w:id="47" w:name="_Toc14577355"/>
      <w:bookmarkStart w:id="48" w:name="_Toc513029217"/>
      <w:bookmarkStart w:id="49" w:name="_Toc61149557"/>
      <w:r>
        <w:rPr>
          <w:rFonts w:hint="eastAsia" w:cs="宋体"/>
          <w:color w:val="auto"/>
          <w:szCs w:val="21"/>
          <w:highlight w:val="none"/>
        </w:rPr>
        <w:t>3、参加谈判供应商资格的文件</w:t>
      </w:r>
      <w:bookmarkEnd w:id="44"/>
      <w:bookmarkEnd w:id="45"/>
      <w:bookmarkEnd w:id="46"/>
      <w:r>
        <w:rPr>
          <w:rFonts w:hint="eastAsia" w:cs="宋体"/>
          <w:color w:val="auto"/>
          <w:szCs w:val="21"/>
          <w:highlight w:val="none"/>
        </w:rPr>
        <w:t>证明</w:t>
      </w:r>
    </w:p>
    <w:p w14:paraId="6A404AD8">
      <w:pPr>
        <w:tabs>
          <w:tab w:val="left" w:pos="900"/>
        </w:tabs>
        <w:spacing w:line="360" w:lineRule="auto"/>
        <w:ind w:firstLine="420" w:firstLineChars="200"/>
        <w:rPr>
          <w:rFonts w:cs="宋体"/>
          <w:color w:val="auto"/>
          <w:szCs w:val="21"/>
          <w:highlight w:val="none"/>
        </w:rPr>
      </w:pPr>
      <w:bookmarkStart w:id="50" w:name="_Hlt26668999"/>
      <w:bookmarkEnd w:id="50"/>
      <w:r>
        <w:rPr>
          <w:rFonts w:hint="eastAsia" w:cs="宋体"/>
          <w:color w:val="auto"/>
          <w:szCs w:val="21"/>
          <w:highlight w:val="none"/>
        </w:rPr>
        <w:t>3.1谈判供应商应提交证明其有资格参加谈判和成交后有能力独立履行合同的文件，并作为其响应文件的一部分。</w:t>
      </w:r>
    </w:p>
    <w:p w14:paraId="32849308">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3.2谈判供应商除必须具有履行合同所需提供的设备以及服务的能力外，还必须具备相应的财务、技术方面的能力。</w:t>
      </w:r>
    </w:p>
    <w:p w14:paraId="50665A50">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3.3谈判供应商应填写并提交谈判采购文件所附的“资格证明文件”。</w:t>
      </w:r>
    </w:p>
    <w:p w14:paraId="21257040">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4、谈判响应报价</w:t>
      </w:r>
      <w:bookmarkEnd w:id="47"/>
      <w:bookmarkEnd w:id="48"/>
      <w:bookmarkStart w:id="51" w:name="_Hlt26670373"/>
      <w:bookmarkEnd w:id="51"/>
      <w:r>
        <w:rPr>
          <w:rFonts w:hint="eastAsia" w:cs="宋体"/>
          <w:color w:val="auto"/>
          <w:szCs w:val="21"/>
          <w:highlight w:val="none"/>
        </w:rPr>
        <w:t>表</w:t>
      </w:r>
      <w:bookmarkEnd w:id="49"/>
    </w:p>
    <w:p w14:paraId="3B397431">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4.1谈判供应商应按照谈判采购文件规定格式填报谈判响应报价表（含分项报价）。每项产品或服务只允许有一个报价，任何有选择的报价将不予接受，谈判采购文件中另有规定的按规定执行。</w:t>
      </w:r>
    </w:p>
    <w:p w14:paraId="0AE0A920">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4.2标的物</w:t>
      </w:r>
    </w:p>
    <w:p w14:paraId="66E6113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详见第四章项目需求。</w:t>
      </w:r>
    </w:p>
    <w:p w14:paraId="0429B276">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4.3有关费用处理</w:t>
      </w:r>
    </w:p>
    <w:p w14:paraId="3C5355F7">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本次采购谈判供应商的总报价应包括为完成本项目发生的所有费用，本谈判采购文件中另有规定的除外。</w:t>
      </w:r>
    </w:p>
    <w:p w14:paraId="470AA934">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4.4其它费用处理</w:t>
      </w:r>
    </w:p>
    <w:p w14:paraId="588CEAC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谈判采购文件未列明，而谈判供应商认为必须的费用也须列入报价。</w:t>
      </w:r>
    </w:p>
    <w:p w14:paraId="3DA5DD3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4.5报价采用的货币</w:t>
      </w:r>
    </w:p>
    <w:p w14:paraId="1B2EF1E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响应文件中的单价和总价，无特殊规定的采用人民币报价，以元为单位标注。谈判采购文件中另有规定的按规定执行。</w:t>
      </w:r>
    </w:p>
    <w:p w14:paraId="0F6CF999">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4.6 谈判响应报价表上的价格应按谈判采购文件规定填写。</w:t>
      </w:r>
    </w:p>
    <w:p w14:paraId="650AA016">
      <w:pPr>
        <w:tabs>
          <w:tab w:val="left" w:pos="900"/>
        </w:tabs>
        <w:spacing w:line="360" w:lineRule="auto"/>
        <w:ind w:firstLine="420" w:firstLineChars="200"/>
        <w:rPr>
          <w:rFonts w:cs="宋体"/>
          <w:color w:val="auto"/>
          <w:szCs w:val="21"/>
          <w:highlight w:val="none"/>
        </w:rPr>
      </w:pPr>
      <w:bookmarkStart w:id="52" w:name="_Hlt26670425"/>
      <w:bookmarkEnd w:id="52"/>
      <w:bookmarkStart w:id="53" w:name="_Hlt26954731"/>
      <w:bookmarkEnd w:id="53"/>
      <w:bookmarkStart w:id="54" w:name="_Hlt26954848"/>
      <w:bookmarkEnd w:id="54"/>
      <w:bookmarkStart w:id="55" w:name="_Hlt26668983"/>
      <w:bookmarkEnd w:id="55"/>
      <w:bookmarkStart w:id="56" w:name="_Hlt26954842"/>
      <w:bookmarkEnd w:id="56"/>
      <w:bookmarkStart w:id="57" w:name="_Hlt26954846"/>
      <w:bookmarkEnd w:id="57"/>
      <w:bookmarkStart w:id="58" w:name="_Hlt26670482"/>
      <w:bookmarkEnd w:id="58"/>
      <w:bookmarkStart w:id="59" w:name="_Hlt26670486"/>
      <w:bookmarkEnd w:id="59"/>
      <w:bookmarkStart w:id="60" w:name="_Hlt26670403"/>
      <w:bookmarkEnd w:id="60"/>
      <w:bookmarkStart w:id="61" w:name="_Hlt26954844"/>
      <w:bookmarkEnd w:id="61"/>
      <w:bookmarkStart w:id="62" w:name="_Toc513029221"/>
      <w:bookmarkStart w:id="63" w:name="_Toc14577359"/>
      <w:bookmarkStart w:id="64" w:name="_Toc61149559"/>
      <w:r>
        <w:rPr>
          <w:rFonts w:hint="eastAsia" w:cs="宋体"/>
          <w:color w:val="auto"/>
          <w:szCs w:val="21"/>
          <w:highlight w:val="none"/>
        </w:rPr>
        <w:t>5、项目需求响应方案</w:t>
      </w:r>
    </w:p>
    <w:p w14:paraId="509F8F9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5.1提供为完成本项目的总体实施方案。</w:t>
      </w:r>
    </w:p>
    <w:p w14:paraId="5DD0BFD1">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5.2对谈判采购文件中项目需求的技术与商务条款要求逐项作出应答，并提供依据或说明。</w:t>
      </w:r>
    </w:p>
    <w:p w14:paraId="7E343698">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5.3谈判供应商认为需要的其他技术文件或说明。</w:t>
      </w:r>
    </w:p>
    <w:p w14:paraId="0E3D82E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6、谈判保证金</w:t>
      </w:r>
      <w:bookmarkEnd w:id="62"/>
      <w:bookmarkEnd w:id="63"/>
      <w:bookmarkEnd w:id="64"/>
    </w:p>
    <w:p w14:paraId="47C4EF14">
      <w:pPr>
        <w:tabs>
          <w:tab w:val="left" w:pos="900"/>
        </w:tabs>
        <w:spacing w:line="360" w:lineRule="auto"/>
        <w:ind w:firstLine="420" w:firstLineChars="200"/>
        <w:rPr>
          <w:rFonts w:cs="宋体"/>
          <w:color w:val="auto"/>
          <w:szCs w:val="21"/>
          <w:highlight w:val="none"/>
        </w:rPr>
      </w:pPr>
      <w:bookmarkStart w:id="65" w:name="_Hlt26954850"/>
      <w:bookmarkEnd w:id="65"/>
      <w:bookmarkStart w:id="66" w:name="_Hlt26954854"/>
      <w:bookmarkEnd w:id="66"/>
      <w:bookmarkStart w:id="67" w:name="_Hlt26954852"/>
      <w:bookmarkEnd w:id="67"/>
      <w:bookmarkStart w:id="68" w:name="_Hlt26954749"/>
      <w:bookmarkEnd w:id="68"/>
      <w:bookmarkStart w:id="69" w:name="_Hlt26954739"/>
      <w:bookmarkEnd w:id="69"/>
      <w:bookmarkStart w:id="70" w:name="_Hlt26670489"/>
      <w:bookmarkEnd w:id="70"/>
      <w:bookmarkStart w:id="71" w:name="_Hlt26670493"/>
      <w:bookmarkEnd w:id="71"/>
      <w:bookmarkStart w:id="72" w:name="_Hlt26954734"/>
      <w:bookmarkEnd w:id="72"/>
      <w:bookmarkStart w:id="73" w:name="_Toc513029224"/>
      <w:bookmarkStart w:id="74" w:name="_Toc61149562"/>
      <w:bookmarkStart w:id="75" w:name="_Toc14577362"/>
      <w:r>
        <w:rPr>
          <w:rFonts w:hint="eastAsia" w:cs="宋体"/>
          <w:color w:val="auto"/>
          <w:szCs w:val="21"/>
          <w:highlight w:val="none"/>
        </w:rPr>
        <w:t>无</w:t>
      </w:r>
    </w:p>
    <w:p w14:paraId="2B4C6E10">
      <w:pPr>
        <w:tabs>
          <w:tab w:val="left" w:pos="900"/>
        </w:tabs>
        <w:spacing w:line="360" w:lineRule="auto"/>
        <w:ind w:firstLine="422" w:firstLineChars="200"/>
        <w:rPr>
          <w:rFonts w:cs="宋体"/>
          <w:b/>
          <w:color w:val="auto"/>
          <w:szCs w:val="21"/>
          <w:highlight w:val="none"/>
        </w:rPr>
      </w:pPr>
      <w:r>
        <w:rPr>
          <w:rFonts w:hint="eastAsia" w:cs="宋体"/>
          <w:b/>
          <w:color w:val="auto"/>
          <w:szCs w:val="21"/>
          <w:highlight w:val="none"/>
        </w:rPr>
        <w:t>三、响应文件的递交</w:t>
      </w:r>
      <w:bookmarkEnd w:id="73"/>
      <w:bookmarkEnd w:id="74"/>
      <w:bookmarkEnd w:id="75"/>
    </w:p>
    <w:p w14:paraId="030CF5C3">
      <w:pPr>
        <w:tabs>
          <w:tab w:val="left" w:pos="900"/>
        </w:tabs>
        <w:spacing w:line="360" w:lineRule="auto"/>
        <w:ind w:firstLine="420" w:firstLineChars="200"/>
        <w:rPr>
          <w:rFonts w:cs="宋体"/>
          <w:color w:val="auto"/>
          <w:szCs w:val="21"/>
          <w:highlight w:val="none"/>
        </w:rPr>
      </w:pPr>
      <w:bookmarkStart w:id="76" w:name="_Hlt26954856"/>
      <w:bookmarkEnd w:id="76"/>
      <w:bookmarkStart w:id="77" w:name="_Toc462564084"/>
      <w:bookmarkStart w:id="78" w:name="_Toc513029225"/>
      <w:bookmarkStart w:id="79" w:name="_Toc14577363"/>
      <w:bookmarkStart w:id="80" w:name="_Toc61149563"/>
      <w:r>
        <w:rPr>
          <w:rFonts w:hint="eastAsia" w:cs="宋体"/>
          <w:color w:val="auto"/>
          <w:szCs w:val="21"/>
          <w:highlight w:val="none"/>
        </w:rPr>
        <w:t>1、响应文件</w:t>
      </w:r>
      <w:bookmarkStart w:id="81" w:name="_Hlt26954743"/>
      <w:bookmarkEnd w:id="81"/>
      <w:r>
        <w:rPr>
          <w:rFonts w:hint="eastAsia" w:cs="宋体"/>
          <w:color w:val="auto"/>
          <w:szCs w:val="21"/>
          <w:highlight w:val="none"/>
        </w:rPr>
        <w:t>的密封和标记</w:t>
      </w:r>
      <w:bookmarkEnd w:id="77"/>
      <w:bookmarkEnd w:id="78"/>
      <w:bookmarkEnd w:id="79"/>
      <w:bookmarkEnd w:id="80"/>
    </w:p>
    <w:p w14:paraId="21B6C089">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1.1谈判供应商应严格按照采购邀请要求的份数准备响应文件，每份响应文件须清楚地标明“正本”或“副本”字样。一旦正本和副本不符，以正本为准。谈判供应商应将响应文件正本和所有副本密封。</w:t>
      </w:r>
    </w:p>
    <w:p w14:paraId="48365109">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1.2密封的响应文件应：</w:t>
      </w:r>
    </w:p>
    <w:p w14:paraId="2D9A17E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（1）按采购邀请中注明的地址送达规定地点；</w:t>
      </w:r>
    </w:p>
    <w:p w14:paraId="6838BE15">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（2）注明参加谈判的项目名称、谈判采购文件编号；</w:t>
      </w:r>
    </w:p>
    <w:p w14:paraId="4DC00D9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（3）密封包装上应写明谈判供应商名称和地址。</w:t>
      </w:r>
    </w:p>
    <w:p w14:paraId="5718290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1.3如果密封包装未按要求密封和加写标记，代理机构对误投或过早启封概不负责。对由此造成提前开封的响应文件，代理机构将予以拒绝，作无效响应处理。</w:t>
      </w:r>
    </w:p>
    <w:p w14:paraId="3769991C">
      <w:pPr>
        <w:tabs>
          <w:tab w:val="left" w:pos="900"/>
        </w:tabs>
        <w:spacing w:line="360" w:lineRule="auto"/>
        <w:ind w:firstLine="420" w:firstLineChars="200"/>
        <w:rPr>
          <w:rFonts w:cs="宋体"/>
          <w:color w:val="auto"/>
          <w:szCs w:val="21"/>
          <w:highlight w:val="none"/>
        </w:rPr>
      </w:pPr>
      <w:bookmarkStart w:id="82" w:name="_Hlt26954752"/>
      <w:bookmarkEnd w:id="82"/>
      <w:bookmarkStart w:id="83" w:name="_Hlt26670496"/>
      <w:bookmarkEnd w:id="83"/>
      <w:bookmarkStart w:id="84" w:name="_Hlt26954858"/>
      <w:bookmarkEnd w:id="84"/>
      <w:bookmarkStart w:id="85" w:name="_Toc14577364"/>
      <w:bookmarkStart w:id="86" w:name="_Toc61149564"/>
      <w:bookmarkStart w:id="87" w:name="_Toc513029226"/>
      <w:r>
        <w:rPr>
          <w:rFonts w:hint="eastAsia" w:cs="宋体"/>
          <w:color w:val="auto"/>
          <w:szCs w:val="21"/>
          <w:highlight w:val="none"/>
        </w:rPr>
        <w:t>2、</w:t>
      </w:r>
      <w:bookmarkEnd w:id="85"/>
      <w:bookmarkEnd w:id="86"/>
      <w:bookmarkEnd w:id="87"/>
      <w:r>
        <w:rPr>
          <w:rFonts w:hint="eastAsia" w:cs="宋体"/>
          <w:color w:val="auto"/>
          <w:szCs w:val="21"/>
          <w:highlight w:val="none"/>
        </w:rPr>
        <w:t>响应文件开启时间</w:t>
      </w:r>
    </w:p>
    <w:p w14:paraId="5A85523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2.1代理机构收到响应文件的时间不得迟于本谈判采购文件规定的响应文件接收截止时间。</w:t>
      </w:r>
    </w:p>
    <w:p w14:paraId="5C844D9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2.2代理机构有权通过修改谈判采购文件推迟响应文件接收截止时间，在此情况下，谈判供应商的所有权利和义务以及受制的响应文件接收截止时间均应以延长后新的响应文件接收截止时间为准。</w:t>
      </w:r>
    </w:p>
    <w:p w14:paraId="43FC95A8">
      <w:pPr>
        <w:tabs>
          <w:tab w:val="left" w:pos="900"/>
        </w:tabs>
        <w:spacing w:line="360" w:lineRule="auto"/>
        <w:ind w:firstLine="420" w:firstLineChars="200"/>
        <w:rPr>
          <w:rFonts w:cs="宋体"/>
          <w:color w:val="auto"/>
          <w:szCs w:val="21"/>
          <w:highlight w:val="none"/>
        </w:rPr>
      </w:pPr>
      <w:bookmarkStart w:id="88" w:name="_Hlt26954860"/>
      <w:bookmarkEnd w:id="88"/>
      <w:bookmarkStart w:id="89" w:name="_Toc61149565"/>
      <w:bookmarkStart w:id="90" w:name="_Toc14577365"/>
      <w:bookmarkStart w:id="91" w:name="_Toc513029227"/>
      <w:r>
        <w:rPr>
          <w:rFonts w:hint="eastAsia" w:cs="宋体"/>
          <w:color w:val="auto"/>
          <w:szCs w:val="21"/>
          <w:highlight w:val="none"/>
        </w:rPr>
        <w:t>3、迟交的响应文件</w:t>
      </w:r>
      <w:bookmarkEnd w:id="89"/>
      <w:bookmarkEnd w:id="90"/>
      <w:bookmarkEnd w:id="91"/>
    </w:p>
    <w:p w14:paraId="30E9CA93">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3.1代理机构将拒绝在规定的响应文件接收截止时间后接收任何响应文件。</w:t>
      </w:r>
    </w:p>
    <w:p w14:paraId="5247AD80">
      <w:pPr>
        <w:tabs>
          <w:tab w:val="left" w:pos="900"/>
        </w:tabs>
        <w:spacing w:line="360" w:lineRule="auto"/>
        <w:ind w:firstLine="420" w:firstLineChars="200"/>
        <w:rPr>
          <w:rFonts w:cs="宋体"/>
          <w:color w:val="auto"/>
          <w:szCs w:val="21"/>
          <w:highlight w:val="none"/>
        </w:rPr>
      </w:pPr>
      <w:bookmarkStart w:id="92" w:name="_Hlt26954862"/>
      <w:bookmarkEnd w:id="92"/>
      <w:bookmarkStart w:id="93" w:name="_Hlt26954754"/>
      <w:bookmarkEnd w:id="93"/>
      <w:bookmarkStart w:id="94" w:name="_Toc513029228"/>
      <w:bookmarkStart w:id="95" w:name="_Toc61149566"/>
      <w:bookmarkStart w:id="96" w:name="_Toc14577366"/>
      <w:r>
        <w:rPr>
          <w:rFonts w:hint="eastAsia" w:cs="宋体"/>
          <w:color w:val="auto"/>
          <w:szCs w:val="21"/>
          <w:highlight w:val="none"/>
        </w:rPr>
        <w:t>4、响应文件</w:t>
      </w:r>
      <w:bookmarkStart w:id="97" w:name="_Hlt26670588"/>
      <w:r>
        <w:rPr>
          <w:rFonts w:hint="eastAsia" w:cs="宋体"/>
          <w:color w:val="auto"/>
          <w:szCs w:val="21"/>
          <w:highlight w:val="none"/>
        </w:rPr>
        <w:t>的修改</w:t>
      </w:r>
      <w:bookmarkEnd w:id="97"/>
      <w:r>
        <w:rPr>
          <w:rFonts w:hint="eastAsia" w:cs="宋体"/>
          <w:color w:val="auto"/>
          <w:szCs w:val="21"/>
          <w:highlight w:val="none"/>
        </w:rPr>
        <w:t>和撤回</w:t>
      </w:r>
      <w:bookmarkEnd w:id="94"/>
      <w:bookmarkEnd w:id="95"/>
      <w:bookmarkEnd w:id="96"/>
    </w:p>
    <w:p w14:paraId="0C8826B9">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4.1谈判供应商在递交响应文件后，可以修改或撤回其谈判响应文件，但这种修改和撤回，必须在规定的响应文件接收截止时间前，以书面形式送达指定地点。</w:t>
      </w:r>
    </w:p>
    <w:p w14:paraId="78703F17">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4.2谈判供应商的修改或撤回通知书，应按本文件规定进行编制、密封、标记和发送，并应在封套上加注“修改”和“撤回”字样。</w:t>
      </w:r>
    </w:p>
    <w:p w14:paraId="08712BA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4.3 谈判供应商在提交最后报价之前，可以根据谈判情况退出谈判。</w:t>
      </w:r>
    </w:p>
    <w:p w14:paraId="7F300276">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5、谈判响应有效期</w:t>
      </w:r>
    </w:p>
    <w:p w14:paraId="47D9F76E">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5.1 谈判响应有效期为代理机构规定的响应文件接收截止时间后三十（30）天。谈判响应有效期比规定短的将被视为非实质性响应性而予以拒绝。</w:t>
      </w:r>
    </w:p>
    <w:p w14:paraId="24A79789">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5.2 在特殊情况下，代理机构于原谈判响应有效期满之前，可向谈判供应商提出延长谈判响应有效期的要求。这种要求与答复均应采用书面形式。谈判供应商可以拒绝代理机构的这一要求而放弃谈判响应。同意延长谈判响应有效期的谈判供应商既不能要求也不允许修改其响应文件。受谈判响应有效期约束的所有权利与义务均延长至新的有效期。</w:t>
      </w:r>
    </w:p>
    <w:p w14:paraId="29D33846">
      <w:pPr>
        <w:tabs>
          <w:tab w:val="left" w:pos="900"/>
        </w:tabs>
        <w:spacing w:line="360" w:lineRule="auto"/>
        <w:ind w:firstLine="422" w:firstLineChars="200"/>
        <w:rPr>
          <w:rFonts w:cs="宋体"/>
          <w:b/>
          <w:color w:val="auto"/>
          <w:szCs w:val="21"/>
          <w:highlight w:val="none"/>
        </w:rPr>
      </w:pPr>
      <w:bookmarkStart w:id="98" w:name="_Hlt26670523"/>
      <w:bookmarkEnd w:id="98"/>
      <w:bookmarkStart w:id="99" w:name="_Hlt26954864"/>
      <w:bookmarkEnd w:id="99"/>
      <w:r>
        <w:rPr>
          <w:rFonts w:hint="eastAsia" w:cs="宋体"/>
          <w:b/>
          <w:color w:val="auto"/>
          <w:szCs w:val="21"/>
          <w:highlight w:val="none"/>
        </w:rPr>
        <w:t>四、谈判与评审</w:t>
      </w:r>
    </w:p>
    <w:p w14:paraId="1F75E735">
      <w:pPr>
        <w:tabs>
          <w:tab w:val="left" w:pos="900"/>
        </w:tabs>
        <w:spacing w:line="360" w:lineRule="auto"/>
        <w:ind w:firstLine="420" w:firstLineChars="200"/>
        <w:rPr>
          <w:rFonts w:cs="宋体"/>
          <w:color w:val="auto"/>
          <w:szCs w:val="21"/>
          <w:highlight w:val="none"/>
        </w:rPr>
      </w:pPr>
      <w:bookmarkStart w:id="100" w:name="_Toc20823302"/>
      <w:bookmarkStart w:id="101" w:name="_Toc16938546"/>
      <w:bookmarkStart w:id="102" w:name="_Toc513029230"/>
      <w:r>
        <w:rPr>
          <w:rFonts w:hint="eastAsia" w:cs="宋体"/>
          <w:color w:val="auto"/>
          <w:szCs w:val="21"/>
          <w:highlight w:val="none"/>
        </w:rPr>
        <w:t>1、</w:t>
      </w:r>
      <w:bookmarkEnd w:id="100"/>
      <w:bookmarkEnd w:id="101"/>
      <w:bookmarkEnd w:id="102"/>
      <w:r>
        <w:rPr>
          <w:rFonts w:hint="eastAsia" w:cs="宋体"/>
          <w:color w:val="auto"/>
          <w:szCs w:val="21"/>
          <w:highlight w:val="none"/>
        </w:rPr>
        <w:t>谈判仪式</w:t>
      </w:r>
    </w:p>
    <w:p w14:paraId="6659682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1.1代理机构将在采购邀请中规定的时间和地点组织谈判开始仪式，仪式由代理机构主持，谈判供应商应委派携带有效证件的代表准时参加，参加仪式的代表需签名以证明其出席。</w:t>
      </w:r>
    </w:p>
    <w:p w14:paraId="2B767B02">
      <w:pPr>
        <w:tabs>
          <w:tab w:val="left" w:pos="900"/>
        </w:tabs>
        <w:spacing w:line="360" w:lineRule="auto"/>
        <w:ind w:firstLine="420" w:firstLineChars="200"/>
        <w:rPr>
          <w:rFonts w:cs="宋体"/>
          <w:color w:val="auto"/>
          <w:szCs w:val="21"/>
          <w:highlight w:val="none"/>
        </w:rPr>
      </w:pPr>
      <w:bookmarkStart w:id="103" w:name="_Toc513029231"/>
      <w:bookmarkStart w:id="104" w:name="_Toc20823303"/>
      <w:bookmarkStart w:id="105" w:name="_Toc16938547"/>
      <w:r>
        <w:rPr>
          <w:rFonts w:hint="eastAsia" w:cs="宋体"/>
          <w:color w:val="auto"/>
          <w:szCs w:val="21"/>
          <w:highlight w:val="none"/>
        </w:rPr>
        <w:t>2、谈判采购小组</w:t>
      </w:r>
    </w:p>
    <w:p w14:paraId="0B72BAEE">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2.1 谈判开始仪式结束后，代理机构将立即组织谈判采购小组进行评审。</w:t>
      </w:r>
    </w:p>
    <w:p w14:paraId="2183295E">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2.2 谈判采购小组由</w:t>
      </w:r>
      <w:r>
        <w:rPr>
          <w:rFonts w:hint="eastAsia"/>
          <w:color w:val="auto"/>
          <w:szCs w:val="21"/>
          <w:highlight w:val="none"/>
        </w:rPr>
        <w:t>采购</w:t>
      </w:r>
      <w:r>
        <w:rPr>
          <w:rFonts w:hint="eastAsia" w:cs="宋体"/>
          <w:color w:val="auto"/>
          <w:szCs w:val="21"/>
          <w:highlight w:val="none"/>
        </w:rPr>
        <w:t>评审专家、采购人代表组成，且人员构成符合采购有关规定。</w:t>
      </w:r>
    </w:p>
    <w:p w14:paraId="7C824D8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3、谈判评审过程的保密</w:t>
      </w:r>
      <w:bookmarkEnd w:id="103"/>
      <w:bookmarkEnd w:id="104"/>
      <w:bookmarkEnd w:id="105"/>
      <w:r>
        <w:rPr>
          <w:rFonts w:hint="eastAsia" w:cs="宋体"/>
          <w:color w:val="auto"/>
          <w:szCs w:val="21"/>
          <w:highlight w:val="none"/>
        </w:rPr>
        <w:t>与公正</w:t>
      </w:r>
    </w:p>
    <w:p w14:paraId="52B2952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3.1谈判采购小组、采购人和代理机构工作人员、相关监督人员等与评审工作有关的人员，对评审情况以及在评审过程中获悉的国家秘密、商业秘密负有保密责任。</w:t>
      </w:r>
    </w:p>
    <w:p w14:paraId="3ABC245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3.2在谈判评审过程中，谈判供应商不得以任何行为影响谈判评审过程，否则其响应文件将被作为无效响应文件。</w:t>
      </w:r>
    </w:p>
    <w:p w14:paraId="1FCA8861">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3.3谈判采购小组成员应当按照客观、公正、审慎的原则，根据谈判采购文件规定的评审程序、评审方法和评审标准进行独立评审。未实质性响应谈判采购文件的响应文件按无效响应处理，谈判采购小组应当告知提交响应文件的供应商。</w:t>
      </w:r>
    </w:p>
    <w:p w14:paraId="7B1F7584">
      <w:pPr>
        <w:tabs>
          <w:tab w:val="left" w:pos="900"/>
        </w:tabs>
        <w:spacing w:line="360" w:lineRule="auto"/>
        <w:ind w:firstLine="420" w:firstLineChars="200"/>
        <w:rPr>
          <w:rFonts w:cs="宋体"/>
          <w:color w:val="auto"/>
          <w:szCs w:val="21"/>
          <w:highlight w:val="none"/>
        </w:rPr>
      </w:pPr>
      <w:bookmarkStart w:id="106" w:name="_Toc513029232"/>
      <w:bookmarkStart w:id="107" w:name="_Toc20823304"/>
      <w:bookmarkStart w:id="108" w:name="_Toc16938548"/>
      <w:r>
        <w:rPr>
          <w:rFonts w:hint="eastAsia" w:cs="宋体"/>
          <w:color w:val="auto"/>
          <w:szCs w:val="21"/>
          <w:highlight w:val="none"/>
        </w:rPr>
        <w:t>4、评审过程的澄清</w:t>
      </w:r>
      <w:bookmarkEnd w:id="106"/>
      <w:bookmarkEnd w:id="107"/>
      <w:bookmarkEnd w:id="108"/>
      <w:r>
        <w:rPr>
          <w:rFonts w:hint="eastAsia" w:cs="宋体"/>
          <w:color w:val="auto"/>
          <w:szCs w:val="21"/>
          <w:highlight w:val="none"/>
        </w:rPr>
        <w:t>、说明和更正</w:t>
      </w:r>
    </w:p>
    <w:p w14:paraId="0CE7A50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4.1谈判采购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0E8828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4.2接到谈判采购小组要求的供应商应派人按谈判采购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0A86393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4.3 接到谈判采购小组澄清要求的供应商如未按规定做出澄清，其风险由供应商自行承担。</w:t>
      </w:r>
    </w:p>
    <w:p w14:paraId="545BD797">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4.4若供应商所递交的响应文件或最后报价中的价格出现大写金额和小写金额不一致的错误，以大写金额修正为准。</w:t>
      </w:r>
    </w:p>
    <w:p w14:paraId="459A49B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4.5若供应商所上传的响应文件中报价函价格与扬州市政府采购服务商城所填报的价格不一致，以扬州市政府采购服务商城为准。</w:t>
      </w:r>
    </w:p>
    <w:p w14:paraId="0908CDD4">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4.6谈判采购小组按上述修正错误的原则及方法修正供应商的报价，供应商同意并签字确认后，修正后的报价对供应商具有约束作用。如果供应商不接受修正后的价格，将失去成为成交供应商的资格。</w:t>
      </w:r>
    </w:p>
    <w:p w14:paraId="7DC431D9">
      <w:pPr>
        <w:tabs>
          <w:tab w:val="left" w:pos="900"/>
        </w:tabs>
        <w:spacing w:line="360" w:lineRule="auto"/>
        <w:ind w:firstLine="420" w:firstLineChars="200"/>
        <w:rPr>
          <w:rFonts w:cs="宋体"/>
          <w:color w:val="auto"/>
          <w:szCs w:val="21"/>
          <w:highlight w:val="none"/>
        </w:rPr>
      </w:pPr>
      <w:bookmarkStart w:id="109" w:name="_Toc16938549"/>
      <w:bookmarkStart w:id="110" w:name="_Toc20823305"/>
      <w:bookmarkStart w:id="111" w:name="_Toc513029233"/>
      <w:r>
        <w:rPr>
          <w:rFonts w:hint="eastAsia" w:cs="宋体"/>
          <w:color w:val="auto"/>
          <w:szCs w:val="21"/>
          <w:highlight w:val="none"/>
        </w:rPr>
        <w:t>5、对响应文件的初审</w:t>
      </w:r>
      <w:bookmarkEnd w:id="109"/>
      <w:bookmarkEnd w:id="110"/>
      <w:bookmarkEnd w:id="111"/>
    </w:p>
    <w:p w14:paraId="1CDD36F2">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5.1响应文件初审分为资格性检查和符合性检查。</w:t>
      </w:r>
    </w:p>
    <w:p w14:paraId="05FF9F95">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资格性检查：依据法律法规和谈判采购文件的规定，对响应文件中的资格证明文件等进行审查，以确定供应商是否具备参加谈判的资格。</w:t>
      </w:r>
    </w:p>
    <w:p w14:paraId="6C70AFF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符合性检查：依据谈判采购文件的规定，从响应文件的有效性、完整性和对谈判采购文件的响应程度进行审查，以确定是否对谈判采购文件的实质性要求作出响应。</w:t>
      </w:r>
    </w:p>
    <w:p w14:paraId="247FADC1">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5.2在正式谈判之前，谈判采购小组将首先审查每份响应文件是否实质性响应了谈判采购文件的要求。实质性响应的响应文件应该是与谈判采购文件要求的条款、条件和规格相符，没有重大偏离或保留。</w:t>
      </w:r>
    </w:p>
    <w:p w14:paraId="10DC84A7">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所谓重大偏离或保留是指与谈判采购文件规定的实质性要求存在负偏离，或者在实质上与谈判采购文件不一致，而且限制了合同中买方的权利或供应商的义务，纠正这些偏离或保留将会对其他实质性响应要求的供应商的竞争地位产生不公正的影响。是否属于重大偏离由谈判采购小组按照少数服从多数的原则作出结论。谈判采购小组决定响应文件的响应性只根据响应文件本身的内容，而不寻求外部的证据。</w:t>
      </w:r>
    </w:p>
    <w:p w14:paraId="1EF3B0B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5.3 被认定为未实质性响应谈判采购文件的响应文件的情形</w:t>
      </w:r>
    </w:p>
    <w:p w14:paraId="6AC472FE">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（1）未按照谈判采购文件规定要求密封、签署、盖章的；</w:t>
      </w:r>
    </w:p>
    <w:p w14:paraId="270BF54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（2）供应商在报价时采用选择性报价；</w:t>
      </w:r>
    </w:p>
    <w:p w14:paraId="05E09CB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（3）供应商不具备谈判采购文件中规定资格要求的；</w:t>
      </w:r>
    </w:p>
    <w:p w14:paraId="65F204C4">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（4）不符合法律、法规和谈判采购文件中规定的其他实质性要求和条件的（本谈判采购文件中斜体且有下划线部分为实质性要求和条件）；</w:t>
      </w:r>
    </w:p>
    <w:p w14:paraId="51CD2C0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（5）其他法律、法规及本谈判采购文件规定的属未实质性响应的响应文件的情形。</w:t>
      </w:r>
    </w:p>
    <w:p w14:paraId="0C0E7D29">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5.4 未实质性响应谈判采购文件的响应文件按无效响应处理，谈判采购小组将予以拒绝，供应商不得通过修改或撤销不合要求的偏离或保留而使其响应文件成为实质性响应的文件。</w:t>
      </w:r>
    </w:p>
    <w:p w14:paraId="0AB7BE2B">
      <w:pPr>
        <w:tabs>
          <w:tab w:val="left" w:pos="900"/>
        </w:tabs>
        <w:spacing w:line="360" w:lineRule="auto"/>
        <w:ind w:firstLine="420" w:firstLineChars="200"/>
        <w:rPr>
          <w:rFonts w:cs="宋体"/>
          <w:color w:val="auto"/>
          <w:szCs w:val="21"/>
          <w:highlight w:val="none"/>
        </w:rPr>
      </w:pPr>
      <w:bookmarkStart w:id="112" w:name="_Toc513029234"/>
      <w:bookmarkStart w:id="113" w:name="_Toc16938550"/>
      <w:bookmarkStart w:id="114" w:name="_Toc20823306"/>
      <w:r>
        <w:rPr>
          <w:rFonts w:hint="eastAsia" w:cs="宋体"/>
          <w:color w:val="auto"/>
          <w:szCs w:val="21"/>
          <w:highlight w:val="none"/>
        </w:rPr>
        <w:t>6、</w:t>
      </w:r>
      <w:bookmarkEnd w:id="112"/>
      <w:bookmarkEnd w:id="113"/>
      <w:bookmarkEnd w:id="114"/>
      <w:r>
        <w:rPr>
          <w:rFonts w:hint="eastAsia" w:cs="宋体"/>
          <w:color w:val="auto"/>
          <w:szCs w:val="21"/>
          <w:highlight w:val="none"/>
        </w:rPr>
        <w:t>谈判程序及评审方法和标准</w:t>
      </w:r>
    </w:p>
    <w:p w14:paraId="71A353EE">
      <w:pPr>
        <w:tabs>
          <w:tab w:val="left" w:pos="900"/>
        </w:tabs>
        <w:spacing w:line="360" w:lineRule="auto"/>
        <w:ind w:firstLine="420" w:firstLineChars="200"/>
        <w:rPr>
          <w:rFonts w:cs="宋体"/>
          <w:color w:val="auto"/>
          <w:szCs w:val="21"/>
          <w:highlight w:val="none"/>
        </w:rPr>
      </w:pPr>
      <w:bookmarkStart w:id="115" w:name="_Toc513029235"/>
      <w:bookmarkStart w:id="116" w:name="_Toc20823307"/>
      <w:bookmarkStart w:id="117" w:name="_Toc16938551"/>
      <w:r>
        <w:rPr>
          <w:rFonts w:hint="eastAsia" w:cs="宋体"/>
          <w:color w:val="auto"/>
          <w:szCs w:val="21"/>
          <w:highlight w:val="none"/>
        </w:rPr>
        <w:t>6.1谈判程序</w:t>
      </w:r>
    </w:p>
    <w:p w14:paraId="1202B473">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6.1.1 对于通过资格性和符合性审查的供应商，谈判采购小组所有成员将集中与单一供应商分别进行谈判。</w:t>
      </w:r>
    </w:p>
    <w:p w14:paraId="05E5DA61">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在谈判过程中，谈判采购小组可能根据谈判采购文件和谈判情况实质性变动的内容有：采购需求中的技术、服务要求以及合同草案条款。对谈判采购文件作出的实质性变动是谈判采购文件的有效组成部分，谈判采购小组将以书面形式同时通知所有参加谈判的供应商。供应商应当按照谈判采购文件的变动情况和谈判采购小组的要求重新提交响应文件，并由其法定代表人或授权代表签字或者加盖公章。</w:t>
      </w:r>
    </w:p>
    <w:p w14:paraId="326B05D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 xml:space="preserve"> 6.1.2 谈判采购文件能够详细列明采购标的的技术、服务要求的，谈判结束后，谈判采购小组将要求所有实质性响应的供应商在规定时间内提交最后报价。</w:t>
      </w:r>
    </w:p>
    <w:p w14:paraId="39CA1DE4">
      <w:pPr>
        <w:tabs>
          <w:tab w:val="left" w:pos="900"/>
        </w:tabs>
        <w:spacing w:line="360" w:lineRule="auto"/>
        <w:ind w:firstLine="420" w:firstLineChars="200"/>
        <w:rPr>
          <w:color w:val="auto"/>
          <w:szCs w:val="21"/>
          <w:highlight w:val="none"/>
        </w:rPr>
      </w:pPr>
      <w:r>
        <w:rPr>
          <w:rFonts w:hint="eastAsia"/>
          <w:color w:val="auto"/>
          <w:szCs w:val="21"/>
          <w:highlight w:val="none"/>
        </w:rPr>
        <w:t>最后报价是供应商响应文件的有效组成部分。</w:t>
      </w:r>
    </w:p>
    <w:p w14:paraId="632C5646">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6.1.3 谈判供应商未在谈判采购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w:t>
      </w:r>
    </w:p>
    <w:p w14:paraId="4A3F7B36">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6.2 评审方法和标准</w:t>
      </w:r>
    </w:p>
    <w:p w14:paraId="383E3F9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6.2.1评审方法。经谈判确定最终采购需求和提交最后报价的供应商后，由谈判采购小组采用综合评分法对提交最后报价的供应商的响应文件和最后报价进行综合评分。</w:t>
      </w:r>
    </w:p>
    <w:p w14:paraId="5C8C03A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综合评分法，是指响应文件满足谈判采购文件全部实质性要求且按评审因素的量化指标评审得分最高的供应商为成交候选供应商的评审方法。评审时，谈判采购小组各成员独立对每个有效响应的文件进行评价、打分，然后汇总每个供应商每项评分因素的得分。</w:t>
      </w:r>
    </w:p>
    <w:p w14:paraId="07BFACCE">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6.2.2评审标准</w:t>
      </w:r>
    </w:p>
    <w:p w14:paraId="109F59F9">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见本谈判采购文件第五章规定。</w:t>
      </w:r>
    </w:p>
    <w:p w14:paraId="48F3C8F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6.3采购活动终止的情况</w:t>
      </w:r>
    </w:p>
    <w:p w14:paraId="19F945E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出现下列情形之一的，本次谈判采购活动将被终止：</w:t>
      </w:r>
    </w:p>
    <w:p w14:paraId="74BC4A1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（1）因情况变化，不再符合规定的谈判采购人式适用情形的；</w:t>
      </w:r>
    </w:p>
    <w:p w14:paraId="3DE80E53">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（2）出现影响采购公正的违法、违规行为的；</w:t>
      </w:r>
    </w:p>
    <w:bookmarkEnd w:id="115"/>
    <w:bookmarkEnd w:id="116"/>
    <w:bookmarkEnd w:id="117"/>
    <w:p w14:paraId="79A9798E">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（3）在采购过程中符合要求的供应商或者报价未超过采购预算的供应商不足3家的。</w:t>
      </w:r>
    </w:p>
    <w:p w14:paraId="286E6F6A">
      <w:pPr>
        <w:tabs>
          <w:tab w:val="left" w:pos="900"/>
        </w:tabs>
        <w:spacing w:line="360" w:lineRule="auto"/>
        <w:ind w:firstLine="422" w:firstLineChars="200"/>
        <w:rPr>
          <w:rFonts w:cs="宋体"/>
          <w:b/>
          <w:color w:val="auto"/>
          <w:szCs w:val="21"/>
          <w:highlight w:val="none"/>
        </w:rPr>
      </w:pPr>
      <w:r>
        <w:rPr>
          <w:rFonts w:hint="eastAsia" w:cs="宋体"/>
          <w:b/>
          <w:color w:val="auto"/>
          <w:szCs w:val="21"/>
          <w:highlight w:val="none"/>
        </w:rPr>
        <w:t>五、成交</w:t>
      </w:r>
    </w:p>
    <w:p w14:paraId="42592FD8">
      <w:pPr>
        <w:tabs>
          <w:tab w:val="left" w:pos="900"/>
        </w:tabs>
        <w:spacing w:line="360" w:lineRule="auto"/>
        <w:ind w:firstLine="420" w:firstLineChars="200"/>
        <w:rPr>
          <w:rFonts w:cs="宋体"/>
          <w:color w:val="auto"/>
          <w:szCs w:val="21"/>
          <w:highlight w:val="none"/>
        </w:rPr>
      </w:pPr>
      <w:bookmarkStart w:id="118" w:name="_Toc513029238"/>
      <w:bookmarkStart w:id="119" w:name="_Toc20823310"/>
      <w:bookmarkStart w:id="120" w:name="_Toc16938554"/>
      <w:r>
        <w:rPr>
          <w:rFonts w:hint="eastAsia" w:cs="宋体"/>
          <w:color w:val="auto"/>
          <w:szCs w:val="21"/>
          <w:highlight w:val="none"/>
        </w:rPr>
        <w:t>1、</w:t>
      </w:r>
      <w:bookmarkEnd w:id="118"/>
      <w:r>
        <w:rPr>
          <w:rFonts w:hint="eastAsia" w:cs="宋体"/>
          <w:color w:val="auto"/>
          <w:szCs w:val="21"/>
          <w:highlight w:val="none"/>
        </w:rPr>
        <w:t>确定</w:t>
      </w:r>
      <w:bookmarkEnd w:id="119"/>
      <w:bookmarkEnd w:id="120"/>
      <w:r>
        <w:rPr>
          <w:rFonts w:hint="eastAsia" w:cs="宋体"/>
          <w:color w:val="auto"/>
          <w:szCs w:val="21"/>
          <w:highlight w:val="none"/>
        </w:rPr>
        <w:t>成交单位</w:t>
      </w:r>
    </w:p>
    <w:p w14:paraId="32CD3673">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1.1</w:t>
      </w:r>
      <w:r>
        <w:rPr>
          <w:rFonts w:hint="eastAsia"/>
          <w:color w:val="auto"/>
          <w:szCs w:val="21"/>
          <w:highlight w:val="none"/>
        </w:rPr>
        <w:t>谈判采购小组根据综合评分情况，按照评审得分由高到低顺序推荐3名成交候选供应商，并编写评审报告。评审得分相同的，按照最后报价由低到高的顺序推荐。评审得分且最后报价相同的，按照技术指标优劣顺序推荐。</w:t>
      </w:r>
    </w:p>
    <w:p w14:paraId="25ECFCA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1.2采购人根据</w:t>
      </w:r>
      <w:r>
        <w:rPr>
          <w:rFonts w:hint="eastAsia"/>
          <w:color w:val="auto"/>
          <w:szCs w:val="21"/>
          <w:highlight w:val="none"/>
        </w:rPr>
        <w:t>谈判采购小组</w:t>
      </w:r>
      <w:r>
        <w:rPr>
          <w:rFonts w:hint="eastAsia" w:cs="宋体"/>
          <w:color w:val="auto"/>
          <w:szCs w:val="21"/>
          <w:highlight w:val="none"/>
        </w:rPr>
        <w:t>推荐的成交候选人确定成交人。采购人确定成交人后，代理机构将在“扬州市政府采购服务商城”“扬州市翠岗中学网站”发布成交结果公告，公告期限为1个工作日。</w:t>
      </w:r>
    </w:p>
    <w:p w14:paraId="626614D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1.3若有充分证据证明，成交人出现下列情况之一的，一经查实，将被取消成交资格：</w:t>
      </w:r>
    </w:p>
    <w:p w14:paraId="4C435CE5">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（1）提供虚假材料谋取成交的；</w:t>
      </w:r>
    </w:p>
    <w:p w14:paraId="2586BE4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（2）与评审专家、采购人、其他供应商或者代理机构工作人员恶意串通的；</w:t>
      </w:r>
    </w:p>
    <w:p w14:paraId="3233974B">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（3）向评审专家、采购人或代理机构工作人员行贿或者提供其他不正当利益的；</w:t>
      </w:r>
    </w:p>
    <w:p w14:paraId="7EB6A4C1">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（4）恶意竞争，最终总报价明显低于其自身合理成本且又无法提供证明的；</w:t>
      </w:r>
    </w:p>
    <w:p w14:paraId="0252AD14">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（5）不满足本谈判采购文件规定的实质性要求，但在评审过程中又未被谈判采购小组发现的；</w:t>
      </w:r>
    </w:p>
    <w:p w14:paraId="06C68B8E">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（6）成交后无正当理由拒不与采购人签订采购合同或者未按照谈判采购文件确定的事项签订采购合同；</w:t>
      </w:r>
    </w:p>
    <w:p w14:paraId="09BE67C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（7）将采购合同转包；</w:t>
      </w:r>
    </w:p>
    <w:p w14:paraId="3727EB36">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（8）法律、法规、规章规定的属于成交无效的其他情形。</w:t>
      </w:r>
    </w:p>
    <w:p w14:paraId="6722328C">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2、质疑处理</w:t>
      </w:r>
    </w:p>
    <w:p w14:paraId="0EAAD772">
      <w:pPr>
        <w:spacing w:line="360" w:lineRule="auto"/>
        <w:ind w:firstLine="420" w:firstLineChars="200"/>
        <w:rPr>
          <w:rFonts w:cs="宋体"/>
          <w:snapToGrid w:val="0"/>
          <w:color w:val="auto"/>
          <w:szCs w:val="21"/>
          <w:highlight w:val="none"/>
        </w:rPr>
      </w:pPr>
      <w:r>
        <w:rPr>
          <w:rFonts w:hint="eastAsia" w:cs="宋体"/>
          <w:color w:val="auto"/>
          <w:szCs w:val="21"/>
          <w:highlight w:val="none"/>
        </w:rPr>
        <w:t>2.1谈判供应商认为谈判采购文件、采购过程和采购结果使自己的权益受到损害的，可以在知道或应知其权益受到损害之日起七个工作日内，以书面形式向代理机构提出质疑。</w:t>
      </w:r>
      <w:r>
        <w:rPr>
          <w:rFonts w:hint="eastAsia" w:cs="宋体"/>
          <w:snapToGrid w:val="0"/>
          <w:color w:val="auto"/>
          <w:szCs w:val="21"/>
          <w:highlight w:val="none"/>
        </w:rPr>
        <w:t>《质疑申请书》及《授权委托书》格式见网址：</w:t>
      </w:r>
      <w:r>
        <w:rPr>
          <w:color w:val="auto"/>
          <w:highlight w:val="none"/>
        </w:rPr>
        <w:fldChar w:fldCharType="begin"/>
      </w:r>
      <w:r>
        <w:rPr>
          <w:color w:val="auto"/>
          <w:highlight w:val="none"/>
        </w:rPr>
        <w:instrText xml:space="preserve"> HYPERLINK "http://pan.baidu.com/s/1c1G12Cg" </w:instrText>
      </w:r>
      <w:r>
        <w:rPr>
          <w:color w:val="auto"/>
          <w:highlight w:val="none"/>
        </w:rPr>
        <w:fldChar w:fldCharType="separate"/>
      </w:r>
      <w:r>
        <w:rPr>
          <w:rFonts w:hint="eastAsia" w:cs="宋体"/>
          <w:snapToGrid w:val="0"/>
          <w:color w:val="auto"/>
          <w:szCs w:val="21"/>
          <w:highlight w:val="none"/>
        </w:rPr>
        <w:t>http://pan.baidu.com/s/1c1G12Cg</w:t>
      </w:r>
      <w:r>
        <w:rPr>
          <w:rFonts w:hint="eastAsia" w:cs="宋体"/>
          <w:snapToGrid w:val="0"/>
          <w:color w:val="auto"/>
          <w:szCs w:val="21"/>
          <w:highlight w:val="none"/>
        </w:rPr>
        <w:fldChar w:fldCharType="end"/>
      </w:r>
    </w:p>
    <w:p w14:paraId="6C58A626">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2.1.1对采购文件提出质疑的，应当在获取采购文件之日或者采购文件公告期限届满之日起7个工作日内提出。</w:t>
      </w:r>
    </w:p>
    <w:p w14:paraId="3B0FE5F1">
      <w:pPr>
        <w:tabs>
          <w:tab w:val="left" w:pos="900"/>
        </w:tabs>
        <w:spacing w:line="360" w:lineRule="auto"/>
        <w:ind w:firstLine="420" w:firstLineChars="200"/>
        <w:rPr>
          <w:rFonts w:cs="宋体"/>
          <w:color w:val="auto"/>
          <w:szCs w:val="21"/>
          <w:highlight w:val="none"/>
        </w:rPr>
      </w:pPr>
      <w:r>
        <w:rPr>
          <w:rFonts w:hint="eastAsia"/>
          <w:color w:val="auto"/>
          <w:szCs w:val="21"/>
          <w:highlight w:val="none"/>
        </w:rPr>
        <w:t>2.1.2</w:t>
      </w:r>
      <w:r>
        <w:rPr>
          <w:rFonts w:hint="eastAsia" w:cs="宋体"/>
          <w:color w:val="auto"/>
          <w:szCs w:val="21"/>
          <w:highlight w:val="none"/>
        </w:rPr>
        <w:t>对采购过程提出质疑的，为各采购程序环节结束之日起7个工作日内提出。</w:t>
      </w:r>
    </w:p>
    <w:p w14:paraId="7ACD3D0E">
      <w:pPr>
        <w:tabs>
          <w:tab w:val="left" w:pos="900"/>
        </w:tabs>
        <w:spacing w:line="360" w:lineRule="auto"/>
        <w:ind w:firstLine="420" w:firstLineChars="200"/>
        <w:rPr>
          <w:rFonts w:cs="宋体"/>
          <w:color w:val="auto"/>
          <w:szCs w:val="21"/>
          <w:highlight w:val="none"/>
        </w:rPr>
      </w:pPr>
      <w:r>
        <w:rPr>
          <w:rFonts w:hint="eastAsia"/>
          <w:color w:val="auto"/>
          <w:szCs w:val="21"/>
          <w:highlight w:val="none"/>
        </w:rPr>
        <w:t>2.1.3</w:t>
      </w:r>
      <w:r>
        <w:rPr>
          <w:rFonts w:hint="eastAsia" w:cs="宋体"/>
          <w:color w:val="auto"/>
          <w:szCs w:val="21"/>
          <w:highlight w:val="none"/>
        </w:rPr>
        <w:t>对成交结果提出质疑的，为成交结果公告期限届满之日起7个工作日内提出。</w:t>
      </w:r>
    </w:p>
    <w:p w14:paraId="38B5E0F6">
      <w:pPr>
        <w:spacing w:line="360" w:lineRule="auto"/>
        <w:ind w:firstLine="420" w:firstLineChars="200"/>
        <w:rPr>
          <w:snapToGrid w:val="0"/>
          <w:color w:val="auto"/>
          <w:szCs w:val="21"/>
          <w:highlight w:val="none"/>
        </w:rPr>
      </w:pPr>
      <w:r>
        <w:rPr>
          <w:rFonts w:hint="eastAsia"/>
          <w:color w:val="auto"/>
          <w:szCs w:val="21"/>
          <w:highlight w:val="none"/>
        </w:rPr>
        <w:t>2.2供应商应在法定质疑期内一次性提出针对同一采购程序环节的质疑。代理机构及采购人只接收以纸质原件形式送达的质疑，且需与采购代理机构经办人确认是否收到《质疑函》，如供应商未按上述要求去做，将自行承担所产生的风险。</w:t>
      </w:r>
    </w:p>
    <w:p w14:paraId="682CAA8E">
      <w:pPr>
        <w:spacing w:line="360" w:lineRule="auto"/>
        <w:ind w:firstLine="409" w:firstLineChars="195"/>
        <w:rPr>
          <w:color w:val="auto"/>
          <w:szCs w:val="21"/>
          <w:highlight w:val="none"/>
        </w:rPr>
      </w:pPr>
      <w:r>
        <w:rPr>
          <w:rFonts w:hint="eastAsia"/>
          <w:color w:val="auto"/>
          <w:szCs w:val="21"/>
          <w:highlight w:val="none"/>
        </w:rPr>
        <w:t>2.3提出质疑的供应商（以下简称质疑供应商）应当是参与所质疑项目采购活动的供应商。</w:t>
      </w:r>
    </w:p>
    <w:p w14:paraId="72897DAC">
      <w:pPr>
        <w:spacing w:line="360" w:lineRule="auto"/>
        <w:ind w:firstLine="409" w:firstLineChars="195"/>
        <w:rPr>
          <w:color w:val="auto"/>
          <w:kern w:val="0"/>
          <w:szCs w:val="21"/>
          <w:highlight w:val="none"/>
        </w:rPr>
      </w:pPr>
      <w:r>
        <w:rPr>
          <w:rFonts w:hint="eastAsia"/>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04F4D9F4">
      <w:pPr>
        <w:spacing w:line="360" w:lineRule="auto"/>
        <w:ind w:firstLine="409" w:firstLineChars="195"/>
        <w:rPr>
          <w:color w:val="auto"/>
          <w:szCs w:val="21"/>
          <w:highlight w:val="none"/>
        </w:rPr>
      </w:pPr>
      <w:r>
        <w:rPr>
          <w:rFonts w:hint="eastAsia"/>
          <w:color w:val="auto"/>
          <w:szCs w:val="21"/>
          <w:highlight w:val="none"/>
        </w:rPr>
        <w:t>2.4供应商提出质疑应当提交质疑函和必要的证明材料。质疑函应当包括下列内容：</w:t>
      </w:r>
    </w:p>
    <w:p w14:paraId="59677085">
      <w:pPr>
        <w:spacing w:line="360" w:lineRule="auto"/>
        <w:rPr>
          <w:color w:val="auto"/>
          <w:szCs w:val="21"/>
          <w:highlight w:val="none"/>
        </w:rPr>
      </w:pPr>
      <w:r>
        <w:rPr>
          <w:rFonts w:hint="eastAsia"/>
          <w:color w:val="auto"/>
          <w:szCs w:val="21"/>
          <w:highlight w:val="none"/>
        </w:rPr>
        <w:t>　　2.4.1供应商的姓名或者名称、地址、邮编、联系人及联系电话；</w:t>
      </w:r>
    </w:p>
    <w:p w14:paraId="66AD49FE">
      <w:pPr>
        <w:spacing w:line="360" w:lineRule="auto"/>
        <w:rPr>
          <w:color w:val="auto"/>
          <w:szCs w:val="21"/>
          <w:highlight w:val="none"/>
        </w:rPr>
      </w:pPr>
      <w:r>
        <w:rPr>
          <w:rFonts w:hint="eastAsia"/>
          <w:color w:val="auto"/>
          <w:szCs w:val="21"/>
          <w:highlight w:val="none"/>
        </w:rPr>
        <w:t>　　2.4.2质疑项目的名称、编号；</w:t>
      </w:r>
    </w:p>
    <w:p w14:paraId="32FA06F1">
      <w:pPr>
        <w:spacing w:line="360" w:lineRule="auto"/>
        <w:rPr>
          <w:color w:val="auto"/>
          <w:szCs w:val="21"/>
          <w:highlight w:val="none"/>
        </w:rPr>
      </w:pPr>
      <w:r>
        <w:rPr>
          <w:rFonts w:hint="eastAsia"/>
          <w:color w:val="auto"/>
          <w:szCs w:val="21"/>
          <w:highlight w:val="none"/>
        </w:rPr>
        <w:t>　　2.4.3具体、明确的质疑事项和与质疑事项相关的请求；</w:t>
      </w:r>
    </w:p>
    <w:p w14:paraId="05ED18DC">
      <w:pPr>
        <w:spacing w:line="360" w:lineRule="auto"/>
        <w:rPr>
          <w:color w:val="auto"/>
          <w:szCs w:val="21"/>
          <w:highlight w:val="none"/>
        </w:rPr>
      </w:pPr>
      <w:r>
        <w:rPr>
          <w:rFonts w:hint="eastAsia"/>
          <w:color w:val="auto"/>
          <w:szCs w:val="21"/>
          <w:highlight w:val="none"/>
        </w:rPr>
        <w:t>　　2.4.4事实依据；</w:t>
      </w:r>
    </w:p>
    <w:p w14:paraId="4541C562">
      <w:pPr>
        <w:spacing w:line="360" w:lineRule="auto"/>
        <w:rPr>
          <w:color w:val="auto"/>
          <w:szCs w:val="21"/>
          <w:highlight w:val="none"/>
        </w:rPr>
      </w:pPr>
      <w:r>
        <w:rPr>
          <w:rFonts w:hint="eastAsia"/>
          <w:color w:val="auto"/>
          <w:szCs w:val="21"/>
          <w:highlight w:val="none"/>
        </w:rPr>
        <w:t>　　2.4.5必要的法律依据；</w:t>
      </w:r>
    </w:p>
    <w:p w14:paraId="3CFA25D3">
      <w:pPr>
        <w:spacing w:line="360" w:lineRule="auto"/>
        <w:rPr>
          <w:color w:val="auto"/>
          <w:szCs w:val="21"/>
          <w:highlight w:val="none"/>
        </w:rPr>
      </w:pPr>
      <w:r>
        <w:rPr>
          <w:rFonts w:hint="eastAsia"/>
          <w:color w:val="auto"/>
          <w:szCs w:val="21"/>
          <w:highlight w:val="none"/>
        </w:rPr>
        <w:t>　　2.4.6提出质疑的日期。</w:t>
      </w:r>
    </w:p>
    <w:p w14:paraId="4DFB64B7">
      <w:pPr>
        <w:spacing w:line="360" w:lineRule="auto"/>
        <w:ind w:firstLine="409" w:firstLineChars="195"/>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p>
    <w:p w14:paraId="31A4D4FD">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2.5代理机构收到质疑函后，将对质疑的形式和内容进行审查，如质疑函内容、格式不符合规定，代理机构将告知质疑人进行补正。</w:t>
      </w:r>
    </w:p>
    <w:p w14:paraId="4A1A12A0">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2.6质疑人应当在法定质疑期限内进行补正并重新提交质疑函，拒不补正或者在法定期限内未重新提交质疑函的，为无效质疑，代理机构有权不予受理。</w:t>
      </w:r>
    </w:p>
    <w:p w14:paraId="645BF277">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2.7对于内容、格式符合规定的质疑函，代理机构将在收到参加谈判供应商的书面质疑后七个工作日内作出答复，并以书面形式通知质疑供应商和其他相关供应商，答复的内容不涉及商业秘密。</w:t>
      </w:r>
    </w:p>
    <w:p w14:paraId="5FFCBB75">
      <w:pPr>
        <w:spacing w:line="360" w:lineRule="auto"/>
        <w:ind w:firstLine="409" w:firstLineChars="195"/>
        <w:rPr>
          <w:color w:val="auto"/>
          <w:szCs w:val="21"/>
          <w:highlight w:val="none"/>
        </w:rPr>
      </w:pPr>
      <w:r>
        <w:rPr>
          <w:rFonts w:hint="eastAsia"/>
          <w:color w:val="auto"/>
          <w:szCs w:val="21"/>
          <w:highlight w:val="none"/>
        </w:rPr>
        <w:t>2.8 诚实信用</w:t>
      </w:r>
    </w:p>
    <w:p w14:paraId="036EDDB0">
      <w:pPr>
        <w:spacing w:line="360" w:lineRule="auto"/>
        <w:ind w:firstLine="409" w:firstLineChars="195"/>
        <w:rPr>
          <w:color w:val="auto"/>
          <w:szCs w:val="21"/>
          <w:highlight w:val="none"/>
        </w:rPr>
      </w:pPr>
      <w:r>
        <w:rPr>
          <w:rFonts w:hint="eastAsia"/>
          <w:color w:val="auto"/>
          <w:szCs w:val="21"/>
          <w:highlight w:val="none"/>
        </w:rPr>
        <w:t>2.8.1 供应商之间不得相互串通响应报价，不得妨碍其他供应商的公平竞争，不得损害采购人和其他供应商的合法权益。</w:t>
      </w:r>
    </w:p>
    <w:p w14:paraId="756DDDF8">
      <w:pPr>
        <w:spacing w:line="360" w:lineRule="auto"/>
        <w:ind w:firstLine="409" w:firstLineChars="195"/>
        <w:rPr>
          <w:color w:val="auto"/>
          <w:szCs w:val="21"/>
          <w:highlight w:val="none"/>
        </w:rPr>
      </w:pPr>
      <w:r>
        <w:rPr>
          <w:rFonts w:hint="eastAsia"/>
          <w:color w:val="auto"/>
          <w:szCs w:val="21"/>
          <w:highlight w:val="none"/>
        </w:rPr>
        <w:t>2.8.2 供应商不得以向代理机构工作人员、评审委员会成员行贿或者采取其他不正当手段谋取成交。经查实供应商有此行为的，采购管理部门将供应商列入不良行为记录名单，参照《政府采购法》有关规定处理。</w:t>
      </w:r>
    </w:p>
    <w:p w14:paraId="38843145">
      <w:pPr>
        <w:spacing w:line="360" w:lineRule="auto"/>
        <w:ind w:firstLine="409" w:firstLineChars="195"/>
        <w:rPr>
          <w:color w:val="auto"/>
          <w:szCs w:val="21"/>
          <w:highlight w:val="none"/>
        </w:rPr>
      </w:pPr>
      <w:r>
        <w:rPr>
          <w:rFonts w:hint="eastAsia"/>
          <w:color w:val="auto"/>
          <w:szCs w:val="21"/>
          <w:highlight w:val="none"/>
        </w:rPr>
        <w:t>2.8.3 供应商提出书面质疑必须有理、有据，不得虚假质疑和恶意质疑，并对质疑内容的真实性承担责任。一经查实，代理机构有权依据采购的有关规定，报请采购监管部门对该供应商进行相应的行政处罚并在网站上予以公示。如果供应商或者其他利害关系人通过捏造事实、伪造证明材料等方式提出质疑，干扰采购活动正常进行的，属于严重不良行为，代理机构将提请采购监管部门将其列入不良行为记录名单，并依法予以处罚。</w:t>
      </w:r>
    </w:p>
    <w:p w14:paraId="78B4D2C7">
      <w:pPr>
        <w:spacing w:line="360" w:lineRule="auto"/>
        <w:ind w:firstLine="409" w:firstLineChars="195"/>
        <w:rPr>
          <w:color w:val="auto"/>
          <w:szCs w:val="21"/>
          <w:highlight w:val="none"/>
        </w:rPr>
      </w:pPr>
      <w:r>
        <w:rPr>
          <w:rFonts w:hint="eastAsia"/>
          <w:color w:val="auto"/>
          <w:szCs w:val="21"/>
          <w:highlight w:val="none"/>
        </w:rPr>
        <w:t>2.8.4 供应商不得虚假承诺，否则，按照提供虚假材料谋取成交处理。</w:t>
      </w:r>
    </w:p>
    <w:p w14:paraId="7C85C197">
      <w:pPr>
        <w:spacing w:line="360" w:lineRule="auto"/>
        <w:ind w:firstLine="409" w:firstLineChars="195"/>
        <w:rPr>
          <w:color w:val="auto"/>
          <w:szCs w:val="21"/>
          <w:highlight w:val="none"/>
        </w:rPr>
      </w:pPr>
      <w:r>
        <w:rPr>
          <w:rFonts w:hint="eastAsia"/>
          <w:color w:val="auto"/>
          <w:szCs w:val="21"/>
          <w:highlight w:val="none"/>
        </w:rPr>
        <w:t>2.8.5 供应商应自觉遵守开标、评审纪律，不得扰乱开标评审现场秩序。</w:t>
      </w:r>
    </w:p>
    <w:p w14:paraId="4666B61F">
      <w:pPr>
        <w:tabs>
          <w:tab w:val="left" w:pos="900"/>
        </w:tabs>
        <w:spacing w:line="360" w:lineRule="auto"/>
        <w:ind w:firstLine="422" w:firstLineChars="200"/>
        <w:rPr>
          <w:rFonts w:cs="宋体"/>
          <w:b/>
          <w:color w:val="auto"/>
          <w:szCs w:val="21"/>
          <w:highlight w:val="none"/>
        </w:rPr>
      </w:pPr>
      <w:r>
        <w:rPr>
          <w:rFonts w:hint="eastAsia" w:cs="宋体"/>
          <w:b/>
          <w:color w:val="auto"/>
          <w:szCs w:val="21"/>
          <w:highlight w:val="none"/>
        </w:rPr>
        <w:t>六、合同签订相关事项</w:t>
      </w:r>
    </w:p>
    <w:p w14:paraId="62E05CE2">
      <w:pPr>
        <w:tabs>
          <w:tab w:val="left" w:pos="900"/>
        </w:tabs>
        <w:spacing w:line="360" w:lineRule="auto"/>
        <w:ind w:firstLine="422" w:firstLineChars="200"/>
        <w:rPr>
          <w:rFonts w:cs="宋体"/>
          <w:b/>
          <w:color w:val="auto"/>
          <w:szCs w:val="21"/>
          <w:highlight w:val="none"/>
        </w:rPr>
      </w:pPr>
      <w:r>
        <w:rPr>
          <w:rFonts w:hint="eastAsia" w:cs="宋体"/>
          <w:b/>
          <w:color w:val="auto"/>
          <w:szCs w:val="21"/>
          <w:highlight w:val="none"/>
        </w:rPr>
        <w:t>1、签订合同</w:t>
      </w:r>
    </w:p>
    <w:p w14:paraId="2923F9B9">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l成交人确定后，代理机构将向成交人发出成交通知书。成交人应按成交通知书规定的时间、地点,按照谈判采购文件确定的事项与采购人签订采购合同，且不得迟于成交通知书发出之日起三十日内，由此给采购人造成损失的，成交人还应承担赔偿责任。</w:t>
      </w:r>
    </w:p>
    <w:p w14:paraId="0218CB81">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1.2 谈判采购文件、成交人的响应文件及谈判采购过程中有关澄清、承诺文件均应作为合同附件。</w:t>
      </w:r>
    </w:p>
    <w:p w14:paraId="573FB13F">
      <w:pPr>
        <w:tabs>
          <w:tab w:val="left" w:pos="900"/>
        </w:tabs>
        <w:spacing w:line="360" w:lineRule="auto"/>
        <w:ind w:firstLine="420" w:firstLineChars="200"/>
        <w:rPr>
          <w:rFonts w:cs="宋体"/>
          <w:color w:val="auto"/>
          <w:szCs w:val="21"/>
          <w:highlight w:val="none"/>
        </w:rPr>
      </w:pPr>
      <w:r>
        <w:rPr>
          <w:rFonts w:hint="eastAsia" w:cs="宋体"/>
          <w:color w:val="auto"/>
          <w:szCs w:val="21"/>
          <w:highlight w:val="none"/>
        </w:rPr>
        <w:t>1.3 签订合同后，</w:t>
      </w:r>
      <w:r>
        <w:rPr>
          <w:rFonts w:hint="eastAsia" w:cs="宋体"/>
          <w:i/>
          <w:color w:val="auto"/>
          <w:szCs w:val="21"/>
          <w:highlight w:val="none"/>
          <w:u w:val="single"/>
        </w:rPr>
        <w:t>成交人不得将服务进行转包，</w:t>
      </w:r>
      <w:r>
        <w:rPr>
          <w:rFonts w:hint="eastAsia" w:cs="宋体"/>
          <w:color w:val="auto"/>
          <w:szCs w:val="21"/>
          <w:highlight w:val="none"/>
        </w:rPr>
        <w:t>否则采购人有权终止合同。造成采购人损失的，成交人应承担相应赔偿责任。</w:t>
      </w:r>
    </w:p>
    <w:p w14:paraId="421BD791">
      <w:pPr>
        <w:rPr>
          <w:color w:val="auto"/>
          <w:sz w:val="36"/>
          <w:highlight w:val="none"/>
        </w:rPr>
      </w:pPr>
      <w:bookmarkStart w:id="121" w:name="_Toc497145841"/>
      <w:bookmarkStart w:id="122" w:name="_Toc8948"/>
      <w:bookmarkStart w:id="123" w:name="_Toc7075"/>
      <w:r>
        <w:rPr>
          <w:rFonts w:hint="eastAsia"/>
          <w:color w:val="auto"/>
          <w:sz w:val="36"/>
          <w:highlight w:val="none"/>
        </w:rPr>
        <w:br w:type="page"/>
      </w:r>
    </w:p>
    <w:p w14:paraId="2E7DA035">
      <w:pPr>
        <w:pStyle w:val="4"/>
        <w:jc w:val="center"/>
        <w:rPr>
          <w:color w:val="auto"/>
          <w:sz w:val="36"/>
          <w:highlight w:val="none"/>
        </w:rPr>
      </w:pPr>
      <w:r>
        <w:rPr>
          <w:rFonts w:hint="eastAsia"/>
          <w:color w:val="auto"/>
          <w:sz w:val="36"/>
          <w:highlight w:val="none"/>
        </w:rPr>
        <w:t>第三章 合同条款及格式</w:t>
      </w:r>
      <w:bookmarkEnd w:id="121"/>
      <w:bookmarkEnd w:id="122"/>
      <w:bookmarkEnd w:id="123"/>
    </w:p>
    <w:p w14:paraId="3C7E4EB5">
      <w:pPr>
        <w:pStyle w:val="13"/>
        <w:spacing w:line="360" w:lineRule="auto"/>
        <w:ind w:firstLine="420" w:firstLineChars="200"/>
        <w:rPr>
          <w:rFonts w:ascii="Times New Roman" w:hAnsi="Times New Roman"/>
          <w:bCs/>
          <w:color w:val="auto"/>
          <w:sz w:val="21"/>
          <w:highlight w:val="none"/>
        </w:rPr>
      </w:pPr>
      <w:r>
        <w:rPr>
          <w:rFonts w:hint="eastAsia" w:ascii="Times New Roman" w:hAnsi="Times New Roman"/>
          <w:bCs/>
          <w:color w:val="auto"/>
          <w:sz w:val="21"/>
          <w:highlight w:val="none"/>
        </w:rPr>
        <w:t>以下为成交后签定本项目合同的通用条款，成交人不得提出实质性的修改，关于专用条款将由采购人与成交人结合本项目具体情况协商后签订。</w:t>
      </w:r>
    </w:p>
    <w:p w14:paraId="6CD4C1E2">
      <w:pPr>
        <w:pStyle w:val="13"/>
        <w:spacing w:line="360" w:lineRule="auto"/>
        <w:ind w:firstLine="420" w:firstLineChars="200"/>
        <w:rPr>
          <w:rFonts w:ascii="Times New Roman" w:hAnsi="Times New Roman"/>
          <w:bCs/>
          <w:color w:val="auto"/>
          <w:sz w:val="21"/>
          <w:highlight w:val="none"/>
        </w:rPr>
      </w:pPr>
    </w:p>
    <w:p w14:paraId="14632FB8">
      <w:pPr>
        <w:pStyle w:val="13"/>
        <w:snapToGrid w:val="0"/>
        <w:spacing w:line="360" w:lineRule="auto"/>
        <w:ind w:firstLine="442" w:firstLineChars="200"/>
        <w:jc w:val="center"/>
        <w:rPr>
          <w:rFonts w:hAnsi="宋体" w:cs="宋体"/>
          <w:color w:val="auto"/>
          <w:sz w:val="22"/>
          <w:szCs w:val="22"/>
          <w:highlight w:val="none"/>
        </w:rPr>
      </w:pPr>
      <w:r>
        <w:rPr>
          <w:rFonts w:hint="eastAsia" w:hAnsi="宋体"/>
          <w:b/>
          <w:color w:val="auto"/>
          <w:sz w:val="22"/>
          <w:szCs w:val="22"/>
          <w:highlight w:val="none"/>
        </w:rPr>
        <w:t>政府采购合同（服务）</w:t>
      </w:r>
    </w:p>
    <w:p w14:paraId="106F44E3">
      <w:pPr>
        <w:pStyle w:val="13"/>
        <w:snapToGrid w:val="0"/>
        <w:spacing w:line="360" w:lineRule="auto"/>
        <w:ind w:firstLine="420" w:firstLineChars="200"/>
        <w:rPr>
          <w:rFonts w:hAnsi="宋体" w:cs="宋体"/>
          <w:color w:val="auto"/>
          <w:sz w:val="21"/>
          <w:highlight w:val="none"/>
        </w:rPr>
      </w:pPr>
    </w:p>
    <w:p w14:paraId="0A8F59D7">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项目名称：                </w:t>
      </w:r>
    </w:p>
    <w:p w14:paraId="5395EA11">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甲方（采购人/买方）：                      </w:t>
      </w:r>
    </w:p>
    <w:p w14:paraId="6B34BA7F">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 xml:space="preserve">乙方（供应商/卖方）：              </w:t>
      </w:r>
    </w:p>
    <w:p w14:paraId="469A8FDB">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根据《中华人民共和国政府采购法》、《中华人民共和国民法典》等法律法规的规定，甲乙双方按照江苏苏维工程管理有限公司关于本项目谈判采购的结果签订本合同。</w:t>
      </w:r>
    </w:p>
    <w:p w14:paraId="5ED8815D">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1、合同标的</w:t>
      </w:r>
    </w:p>
    <w:p w14:paraId="28AAEA23">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乙方根据甲方需求，提供下列服务：。</w:t>
      </w:r>
    </w:p>
    <w:p w14:paraId="11067CB8">
      <w:pPr>
        <w:pStyle w:val="22"/>
        <w:widowControl w:val="0"/>
        <w:snapToGrid w:val="0"/>
        <w:spacing w:before="0" w:beforeAutospacing="0" w:after="0" w:afterAutospacing="0" w:line="360" w:lineRule="auto"/>
        <w:ind w:firstLine="420" w:firstLineChars="200"/>
        <w:jc w:val="both"/>
        <w:rPr>
          <w:b/>
          <w:color w:val="auto"/>
          <w:sz w:val="21"/>
          <w:szCs w:val="21"/>
          <w:highlight w:val="none"/>
        </w:rPr>
      </w:pPr>
      <w:r>
        <w:rPr>
          <w:rFonts w:hint="eastAsia"/>
          <w:color w:val="auto"/>
          <w:kern w:val="2"/>
          <w:sz w:val="21"/>
          <w:szCs w:val="21"/>
          <w:highlight w:val="none"/>
        </w:rPr>
        <w:t>服务内容等要求详见谈判采购文件及响应文件。</w:t>
      </w:r>
    </w:p>
    <w:p w14:paraId="6D3AA286">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2、合同总金额</w:t>
      </w:r>
    </w:p>
    <w:p w14:paraId="6A146B80">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 xml:space="preserve">2.1 本合同金额为（大写）：______ </w:t>
      </w:r>
    </w:p>
    <w:p w14:paraId="7D51D25A">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2.2 本合同总金额包括乙方提供的服务及其他有关的为完成本项目发生的所有费用，谈判采购文件中另有规定的除外。</w:t>
      </w:r>
    </w:p>
    <w:p w14:paraId="1990F222">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2.3 在谈判采购文件未列明，而乙方认为履行本合同必需的费用也包含在合同总金额中。</w:t>
      </w:r>
    </w:p>
    <w:p w14:paraId="21A43F06">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2.4 本合同总金额还包含乙方提供的伴随服务/售后服务费用。</w:t>
      </w:r>
    </w:p>
    <w:p w14:paraId="6D916623">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谈判采购采购时的价格水平做相应的调减，并据此签订补充合同；除上述情况外，本合同执行期间合同总金额不变。</w:t>
      </w:r>
    </w:p>
    <w:p w14:paraId="1F57ACE8">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3、组成本合同的有关文件</w:t>
      </w:r>
    </w:p>
    <w:p w14:paraId="77031D6E">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3.1乙方应按谈判采购文件规定的时间向甲方提供服务的有关技术资料。</w:t>
      </w:r>
    </w:p>
    <w:p w14:paraId="5F2D9D8E">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3.2 没有甲方事先书面同意，乙方不得将由甲方提供的有关合同或任何合同条文或资料提供给任何其他人。即使向履行本合同有关的人员提供，也应注意保密并限于履行合同的必需范围。</w:t>
      </w:r>
    </w:p>
    <w:p w14:paraId="1708DF2B">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3.3 关于本项目政府采购的谈判采购文件、响应文件以及与本次采购活动方式相适应的文件及有关附件是本合同不可分割的组成部分，这些文件包括但不限于：</w:t>
      </w:r>
    </w:p>
    <w:p w14:paraId="6F79C044">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 xml:space="preserve">   （1）谈判响应文件；               （2）谈判报价文件；</w:t>
      </w:r>
    </w:p>
    <w:p w14:paraId="609BC789">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 xml:space="preserve">   （3）项目组人员表                 （4）技术参数、商务条款响应及偏离表；</w:t>
      </w:r>
    </w:p>
    <w:p w14:paraId="03A14C9F">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 xml:space="preserve">   （5）服务承诺；                   （6）成交通知书；</w:t>
      </w:r>
    </w:p>
    <w:p w14:paraId="5E403713">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 xml:space="preserve">   （7）甲乙双方补充协议；           （8）乙方参加谈判时提供的响应文件。</w:t>
      </w:r>
    </w:p>
    <w:p w14:paraId="762F5695">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4、知识产权保证</w:t>
      </w:r>
    </w:p>
    <w:p w14:paraId="5D2CB18B">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乙方保证甲方在使用、接受本合同服务或其任何一部分时，不受第三方提出侵犯其专利权、版权、商标权和工业设计权等知识产权的起诉。一旦出现侵权，由乙方负全部责任。</w:t>
      </w:r>
    </w:p>
    <w:p w14:paraId="435E969B">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5、产权保证</w:t>
      </w:r>
    </w:p>
    <w:p w14:paraId="29D33D41">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乙方保证所交付的服务和服务所涉及的物品所有权无任何抵押、查封等权利瑕疵。</w:t>
      </w:r>
    </w:p>
    <w:p w14:paraId="0860D969">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6、履约保证金</w:t>
      </w:r>
    </w:p>
    <w:p w14:paraId="73BAC029">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6.1 乙方在签订合同前按甲方要求向甲方缴纳合同金额 %的履约保证金。</w:t>
      </w:r>
    </w:p>
    <w:p w14:paraId="0D42F811">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6.2履约保证金用以约束乙方在合同履行中的行为，以及弥补合同履行中由于乙方自身行为可能给甲方带来的各种损失；若保证金额不足以弥补乙方违约造成甲方损失的，甲方可继续向乙方主张索赔。</w:t>
      </w:r>
    </w:p>
    <w:p w14:paraId="7467B8FF">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 xml:space="preserve">6.3 履约保证金扣除甲方应得的补偿后的余额，在本合同履行结束后7个工作日由乙方向申请，甲方无息退还。 </w:t>
      </w:r>
    </w:p>
    <w:p w14:paraId="2B232CFB">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7、转包或分包</w:t>
      </w:r>
    </w:p>
    <w:p w14:paraId="6374915C">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7.1 本合同禁止转包，本合同范围的服务，应由乙方直接提供的，不得转让他人提供。</w:t>
      </w:r>
    </w:p>
    <w:p w14:paraId="6AD97970">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7.2 经甲方同意，乙方可以依法采取分包方式履行合同，但是分包方式履行的，乙方应就采购项目向甲方负全责。</w:t>
      </w:r>
    </w:p>
    <w:p w14:paraId="0679D65F">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8、免费维保期</w:t>
      </w:r>
    </w:p>
    <w:p w14:paraId="4291A666">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8.1免费维保（服务提供）期</w:t>
      </w:r>
      <w:r>
        <w:rPr>
          <w:rFonts w:hint="eastAsia"/>
          <w:color w:val="auto"/>
          <w:kern w:val="2"/>
          <w:sz w:val="21"/>
          <w:szCs w:val="21"/>
          <w:highlight w:val="none"/>
          <w:u w:val="single"/>
        </w:rPr>
        <w:t xml:space="preserve"> 1 </w:t>
      </w:r>
      <w:r>
        <w:rPr>
          <w:rFonts w:hint="eastAsia"/>
          <w:color w:val="auto"/>
          <w:kern w:val="2"/>
          <w:sz w:val="21"/>
          <w:szCs w:val="21"/>
          <w:highlight w:val="none"/>
        </w:rPr>
        <w:t>年。（自验收合格之日（服务正式提供之日）起计）</w:t>
      </w:r>
    </w:p>
    <w:p w14:paraId="03AE3985">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9、服务期、服务方式及服务地点</w:t>
      </w:r>
    </w:p>
    <w:p w14:paraId="6E7D1C07">
      <w:pPr>
        <w:pStyle w:val="22"/>
        <w:widowControl w:val="0"/>
        <w:snapToGrid w:val="0"/>
        <w:spacing w:before="0" w:beforeAutospacing="0" w:after="0" w:afterAutospacing="0" w:line="360" w:lineRule="auto"/>
        <w:ind w:firstLine="420" w:firstLineChars="200"/>
        <w:jc w:val="both"/>
        <w:rPr>
          <w:bCs/>
          <w:color w:val="auto"/>
          <w:sz w:val="21"/>
          <w:szCs w:val="21"/>
          <w:highlight w:val="none"/>
        </w:rPr>
      </w:pPr>
      <w:r>
        <w:rPr>
          <w:rFonts w:hint="eastAsia"/>
          <w:bCs/>
          <w:color w:val="auto"/>
          <w:kern w:val="2"/>
          <w:sz w:val="21"/>
          <w:szCs w:val="21"/>
          <w:highlight w:val="none"/>
        </w:rPr>
        <w:t>9.1 服务期：</w:t>
      </w:r>
      <w:r>
        <w:rPr>
          <w:rFonts w:hint="eastAsia"/>
          <w:color w:val="auto"/>
          <w:kern w:val="2"/>
          <w:sz w:val="21"/>
          <w:szCs w:val="21"/>
          <w:highlight w:val="none"/>
        </w:rPr>
        <w:t>_________</w:t>
      </w:r>
    </w:p>
    <w:p w14:paraId="174AF0D3">
      <w:pPr>
        <w:pStyle w:val="22"/>
        <w:widowControl w:val="0"/>
        <w:snapToGrid w:val="0"/>
        <w:spacing w:before="0" w:beforeAutospacing="0" w:after="0" w:afterAutospacing="0" w:line="360" w:lineRule="auto"/>
        <w:ind w:firstLine="420" w:firstLineChars="200"/>
        <w:jc w:val="both"/>
        <w:rPr>
          <w:bCs/>
          <w:color w:val="auto"/>
          <w:sz w:val="21"/>
          <w:szCs w:val="21"/>
          <w:highlight w:val="none"/>
        </w:rPr>
      </w:pPr>
      <w:r>
        <w:rPr>
          <w:rFonts w:hint="eastAsia"/>
          <w:bCs/>
          <w:color w:val="auto"/>
          <w:kern w:val="2"/>
          <w:sz w:val="21"/>
          <w:szCs w:val="21"/>
          <w:highlight w:val="none"/>
        </w:rPr>
        <w:t>9.2 服务方式：</w:t>
      </w:r>
      <w:r>
        <w:rPr>
          <w:rFonts w:hint="eastAsia"/>
          <w:color w:val="auto"/>
          <w:kern w:val="2"/>
          <w:sz w:val="21"/>
          <w:szCs w:val="21"/>
          <w:highlight w:val="none"/>
        </w:rPr>
        <w:t>_________</w:t>
      </w:r>
    </w:p>
    <w:p w14:paraId="5DC9E5EB">
      <w:pPr>
        <w:pStyle w:val="22"/>
        <w:widowControl w:val="0"/>
        <w:snapToGrid w:val="0"/>
        <w:spacing w:before="0" w:beforeAutospacing="0" w:after="0" w:afterAutospacing="0" w:line="360" w:lineRule="auto"/>
        <w:ind w:firstLine="420" w:firstLineChars="200"/>
        <w:jc w:val="both"/>
        <w:rPr>
          <w:b/>
          <w:color w:val="auto"/>
          <w:sz w:val="21"/>
          <w:szCs w:val="21"/>
          <w:highlight w:val="none"/>
        </w:rPr>
      </w:pPr>
      <w:r>
        <w:rPr>
          <w:rFonts w:hint="eastAsia"/>
          <w:bCs/>
          <w:color w:val="auto"/>
          <w:kern w:val="2"/>
          <w:sz w:val="21"/>
          <w:szCs w:val="21"/>
          <w:highlight w:val="none"/>
        </w:rPr>
        <w:t>9.3 服务地点：</w:t>
      </w:r>
      <w:r>
        <w:rPr>
          <w:rFonts w:hint="eastAsia"/>
          <w:color w:val="auto"/>
          <w:kern w:val="2"/>
          <w:sz w:val="21"/>
          <w:szCs w:val="21"/>
          <w:highlight w:val="none"/>
        </w:rPr>
        <w:t>_________</w:t>
      </w:r>
    </w:p>
    <w:p w14:paraId="24EF5872">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10、货款支付</w:t>
      </w:r>
    </w:p>
    <w:p w14:paraId="714C5BFB">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10.1 本合同项下所有款项均以人民币支付。 </w:t>
      </w:r>
    </w:p>
    <w:p w14:paraId="369D4B24">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 本合同项下的采购资金由甲方支付，付款前乙方向甲方开具发票。</w:t>
      </w:r>
    </w:p>
    <w:p w14:paraId="4709E9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10.3甲方付款方式：服务费用实行按月考核支付制度，甲乙双方按考核结果确定实际支付费用；乙方根据实际支付费用开具发票，甲方自收到发票后，于每月20日前支付上月服务费款项。(含税价)。</w:t>
      </w:r>
    </w:p>
    <w:p w14:paraId="28837F0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11、税费</w:t>
      </w:r>
    </w:p>
    <w:p w14:paraId="57D1606E">
      <w:pPr>
        <w:pStyle w:val="22"/>
        <w:widowControl w:val="0"/>
        <w:snapToGrid w:val="0"/>
        <w:spacing w:before="0" w:beforeAutospacing="0" w:after="0" w:afterAutospacing="0" w:line="360" w:lineRule="auto"/>
        <w:ind w:firstLine="420" w:firstLineChars="200"/>
        <w:jc w:val="both"/>
        <w:rPr>
          <w:b/>
          <w:color w:val="auto"/>
          <w:sz w:val="21"/>
          <w:szCs w:val="21"/>
          <w:highlight w:val="none"/>
        </w:rPr>
      </w:pPr>
      <w:r>
        <w:rPr>
          <w:rFonts w:hint="eastAsia"/>
          <w:color w:val="auto"/>
          <w:kern w:val="2"/>
          <w:sz w:val="21"/>
          <w:szCs w:val="21"/>
          <w:highlight w:val="none"/>
        </w:rPr>
        <w:t>本合同执行中相关的一切税费均由乙方负担。</w:t>
      </w:r>
    </w:p>
    <w:p w14:paraId="5F772D7F">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12、服务要求</w:t>
      </w:r>
    </w:p>
    <w:p w14:paraId="5655BE1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（一）乙方工作：</w:t>
      </w:r>
    </w:p>
    <w:p w14:paraId="39652CA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保安服务的主要职责</w:t>
      </w:r>
    </w:p>
    <w:p w14:paraId="0AD1C9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（一）负责校园门卫管理，维持校园秩序，维护校园稳定，及时发现和消除安全隐患；</w:t>
      </w:r>
    </w:p>
    <w:p w14:paraId="7E7B44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（二）对进出校园的车辆和人员进行询问，登记；无校方颁发的车辆出入证和未经联系、未得到校方同意进入的车辆禁止驶入校园；</w:t>
      </w:r>
    </w:p>
    <w:p w14:paraId="709E7E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（三）装载校内物品出校，必须出具主管部门单位的有效证明并经门卫执勤人员查验登记后方可放行；</w:t>
      </w:r>
    </w:p>
    <w:p w14:paraId="5C1309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（四）校门两侧不得随意停靠各种车辆，校门两侧50米不能摆摊设点、堆放各种杂物；</w:t>
      </w:r>
    </w:p>
    <w:p w14:paraId="23DF96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（五）夜班值班保安21:30开始巡查学校车库、教学楼、办公楼、文锦馆、错石堂、体育馆、食堂，并负责关灯、锁门。</w:t>
      </w:r>
    </w:p>
    <w:p w14:paraId="54BEBDF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四、具体管理事项</w:t>
      </w:r>
    </w:p>
    <w:p w14:paraId="48CDE59C">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（一）岗位制度</w:t>
      </w:r>
    </w:p>
    <w:p w14:paraId="3368C1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1.固定岗的责任区为：校门。流动岗：校园巡逻、治安疏导与管理。</w:t>
      </w:r>
    </w:p>
    <w:p w14:paraId="474234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2.值班时间为:全天24小时值班，夜班人员21:30-22:00负责学校所有门的上锁。</w:t>
      </w:r>
    </w:p>
    <w:p w14:paraId="5C20F8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3.按规着装（装备）站岗，衣领、扣子、徽章、腰带、帽子、反光马甲等均需整齐。</w:t>
      </w:r>
    </w:p>
    <w:p w14:paraId="19EB75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4.值岗时不得用餐、抽烟、不与人闲聊，不随意接打电话，不做与工作无关的事情，保持良好的形象。门卫值班室不得有闲杂人员进入。</w:t>
      </w:r>
    </w:p>
    <w:p w14:paraId="23A68A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5.夜班人员不得在值班期间睡觉，洗脚，喝酒吸烟,必须按照规定时间巡逻检查。</w:t>
      </w:r>
    </w:p>
    <w:p w14:paraId="04B97DE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（二）进出人员管理制度</w:t>
      </w:r>
    </w:p>
    <w:p w14:paraId="5058D9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1.凡来访人员、学生家长，须问清情况填写好来访登记表，并联系相关人员，征得有关人员同意后，方可放行。</w:t>
      </w:r>
    </w:p>
    <w:p w14:paraId="772BD3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学校保卫人员应认真查验进入学校的外来不明人员的相关证件，严禁闲杂人员、推销商品人员、不明身份人员进入学校，确保校园平安。对拒不出示证件或不能证明其身份的外来人员，学校保卫人员有权拒绝其进入学校并做好解释工作。 </w:t>
      </w:r>
    </w:p>
    <w:p w14:paraId="1E3085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学生一到学校就进入学校，不要让学生在校门口逗留。在校时间不允许学生外出，学生确因特殊情况需出校门时，须有由班主任签字的请假条，或有班主任及家长陪同方可离校。学校保卫人员查验后方可放行并将请假条存档备查。</w:t>
      </w:r>
    </w:p>
    <w:p w14:paraId="4DFC3AC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（三）车辆准入放行制度</w:t>
      </w:r>
    </w:p>
    <w:p w14:paraId="15B0E7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1.学校在正常教育教学工作期间，应关闭好校门。严格控制学生在校期间，家长接送学生的电动自行车、三轮车和机动车辆不允许进入校园。</w:t>
      </w:r>
    </w:p>
    <w:p w14:paraId="16E05D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2.确因工作需要进入学校的车辆或其他为学校服务的车辆，需经学校领导同意后，在保卫人员的引导下停放到指定地点，禁止鸣笛，限速行驶，确保师生安全。（特殊车辆可先放行再马上汇报）。</w:t>
      </w:r>
    </w:p>
    <w:p w14:paraId="15122E0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（四）物品出入查验制度</w:t>
      </w:r>
    </w:p>
    <w:p w14:paraId="3398ED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1.学校保卫人员对进出学校的外来人员携带的物品进行登记，对可疑物品要进行查验，严禁易燃易爆、剧毒、管制刀具等危险物品进入校园。</w:t>
      </w:r>
    </w:p>
    <w:p w14:paraId="71983AD3">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2.按要求分发好学校的报刊杂志，投至指定信箱，同时对送至学校的快递做好登记工作，并安要求摆放至指定位置。同时做好相关快递的收发与整理工作。</w:t>
      </w:r>
    </w:p>
    <w:p w14:paraId="1705F03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（五）巡逻制度</w:t>
      </w:r>
    </w:p>
    <w:p w14:paraId="6EE08B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每天校园巡逻，上午（8:00）一次（10:00）一次，中午（11:35）一次，下午（14:00）一次（16:00）一次(17:35)一次,夜班上半夜（21:30）一次，下半夜（2:30）一次，另外21:30巡查教学楼、办公楼关灯锁门，及时做好《安全日志》记载。</w:t>
      </w:r>
    </w:p>
    <w:p w14:paraId="378D6D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巡逻时，为保持学校宁静和正常的教育教学秩序，应规劝教育有关不良行为的学生，杜绝喧哗、吵闹、打架和不安全的情况发生，杜绝浪费、损坏公物、破坏花草树木的情况发生。同时及时劝回在教学区域逗留的行人。</w:t>
      </w:r>
    </w:p>
    <w:p w14:paraId="253C7D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3.放学后做好清校工作，巡查校园教室、车库等区域，规劝个别学生离校回家，不得在校逗留。</w:t>
      </w:r>
    </w:p>
    <w:p w14:paraId="203E24D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 （六）其他工作</w:t>
      </w:r>
    </w:p>
    <w:p w14:paraId="4494F7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1.学校保安人员肩负着学校安全保卫重任，要有高度的责任感，严格遵守保安职业道德，按要求在岗轮流值班，不得擅自离岗。</w:t>
      </w:r>
    </w:p>
    <w:p w14:paraId="389321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学生在上学放学时间内，要主动疏导交通，要及时排除校门外(离校门50米内)的摊点、车辆堵塞障碍物，有效疏通交通拥挤现象。按时做好大门的开关工作(早上六点半之后准时打开校门，放学后师生离校后关校门)，做到门开人在。</w:t>
      </w:r>
    </w:p>
    <w:p w14:paraId="4FE22E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3.态度和蔼、语言谦虚，不急不躁，认真细致；不得冷淡、刁难、嘲笑，不得与学生打闹。对方态度不好，一定要耐心解释。</w:t>
      </w:r>
    </w:p>
    <w:p w14:paraId="04F7E2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4.与教师，学生或来访者交谈要使用普通话，说话要清楚，用词准确、言简易懂，不讲与工作无关的话，不讲有损学校形象的话。</w:t>
      </w:r>
    </w:p>
    <w:p w14:paraId="3EB9BE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5.教师及领导到来，应主动迎接，认真听取老师和领导的意见，遇需要帮助的事情在保证安全的前提下提供力所能及的帮助，因影响安全不能帮助的，应主动解释力求得到谅解。</w:t>
      </w:r>
    </w:p>
    <w:p w14:paraId="62DFF3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6.各种意见或投诉、要认真听取，弄清情况，做好笔录，即时处理，如非本职工作范围，即时通知责任人或向领导汇报。</w:t>
      </w:r>
    </w:p>
    <w:p w14:paraId="18ADFA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7.及时整理传达室，确保传达室干净，严禁闲杂人员逗留。</w:t>
      </w:r>
    </w:p>
    <w:p w14:paraId="0AEBF1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8.妥善保管好头盔、橡皮警棍、武装带、防割手套、催泪喷雾器等八件套及盾牌、叉等应急器械，上学、放学期间，持械上岗。</w:t>
      </w:r>
    </w:p>
    <w:p w14:paraId="55993C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9.学校出现突发事件，保安公司必须在半小时内增派保安到现场。</w:t>
      </w:r>
    </w:p>
    <w:p w14:paraId="2FF686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10.乙方应教育保安人员严格执行好以上制度。如因工作失职，造成学校财产损失或人员伤亡，需承担相应责任。</w:t>
      </w:r>
    </w:p>
    <w:p w14:paraId="2B1D3A6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五、投标单位资质要求</w:t>
      </w:r>
    </w:p>
    <w:p w14:paraId="3FA83A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（一）投标单位必须是具备法人资格的保安公司，具备良好的从业信誉和安全保卫经验，有完善的管理体系和健全的内部管理规章制度。</w:t>
      </w:r>
    </w:p>
    <w:p w14:paraId="61D228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（二）投标单位应认真研究学校保安服务的教育属性，熟悉校园管理的特点，根据校园内的不同服务对象，制订切实可行的校园保安服务整体方案，完善专项管理制度。</w:t>
      </w:r>
    </w:p>
    <w:p w14:paraId="741A688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六、项目管理要求</w:t>
      </w:r>
    </w:p>
    <w:p w14:paraId="24FE2B5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（一）质量目标要求</w:t>
      </w:r>
    </w:p>
    <w:p w14:paraId="5774A7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1.依托行业标准，根据校方管理规定与服务要求，制订切实可行的校园保安工作制度、服务整体方案和应急预案，突发事件反应迅速，预案处置有力；</w:t>
      </w:r>
    </w:p>
    <w:p w14:paraId="7BCDC2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2.依法办事，文明值勤，严格管理，保障学校校财产和师生人身不受侵害，维护正常的教育教学、生活秩序；</w:t>
      </w:r>
    </w:p>
    <w:p w14:paraId="0A4A31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3.全年无责任事故和责任案件发生，师生有安全感，对校园保安服务满意率在90%以上。</w:t>
      </w:r>
    </w:p>
    <w:p w14:paraId="4D8F16B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（二）服务要求</w:t>
      </w:r>
    </w:p>
    <w:p w14:paraId="480D38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1.树立“服务第一，业主至上”的思想，切实维护学校与师生的人身和财产安全；</w:t>
      </w:r>
    </w:p>
    <w:p w14:paraId="5CEC90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2.管理坚持原则、慎密严谨；服务以人为本、主动热情；处理问题高度警惕、有理有节；</w:t>
      </w:r>
    </w:p>
    <w:p w14:paraId="0E61D9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3.上岗人员仪表整洁，业务操作规范，礼貌待人，保持岗位卫生整洁；</w:t>
      </w:r>
    </w:p>
    <w:p w14:paraId="446C53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4.依法办事，文明执勤，不与师生发生争吵，杜绝保安与师生发生冲突，禁止保安出手伤及师生人生安全，做到打不还手、骂不还口；</w:t>
      </w:r>
    </w:p>
    <w:p w14:paraId="1AA15A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5.师生有求必应，有险情必出。</w:t>
      </w:r>
    </w:p>
    <w:p w14:paraId="6537D47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（三）人员素质要求</w:t>
      </w:r>
    </w:p>
    <w:p w14:paraId="73D202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1.保安从业人员应知法，懂法，守法，依法办事，必须严格遵守保安从业规范，模范遵守校园安全管理规定；</w:t>
      </w:r>
    </w:p>
    <w:p w14:paraId="2A45D1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2.保安服务队长应具备高中以上学历，有较高的政治思想素养和业务水平，有较强的组织协调能力，受过专门的保安业务培训。</w:t>
      </w:r>
    </w:p>
    <w:p w14:paraId="37F4C7A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3.保安人员个人素质条件：必须接受过职业训练为主体，持有保安上岗证，身高1.65米以上，年龄18—55岁，身体健康，没有传染病及精神病等不能控制自己行为能力的疾病病史，体貌端正。无犯罪记录者。</w:t>
      </w:r>
    </w:p>
    <w:p w14:paraId="40637E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4.所聘用的保安人员有吃苦耐劳的精神和高度的责任感，受过校园保安门卫岗前培训，熟知校方的管理规定，严格履行岗位职责，善于发现各类问题，具备一定的管理经验和处理突发事件能力。</w:t>
      </w:r>
    </w:p>
    <w:p w14:paraId="522580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5.保安服务队长要加强对保安业务的管理，确保保安在校园内无违规事件发生。</w:t>
      </w:r>
    </w:p>
    <w:p w14:paraId="0234038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（四）工作衔接要求</w:t>
      </w:r>
    </w:p>
    <w:p w14:paraId="5E1743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1.根据行业服务标准与校方规定要求，独立运作，落实校园安全保卫整体方案，并结合校园变化实际在实践中不断完善；</w:t>
      </w:r>
    </w:p>
    <w:p w14:paraId="064038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2.保安服务队长须与安保处保持必要的工作交流，每天必须向安保处口头汇报工作，每星期一次向安保处书面汇报所承担的保安工作开展情况及信息反馈，重大情况须及时报告；</w:t>
      </w:r>
    </w:p>
    <w:p w14:paraId="552C97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3.做好详细的执勤记录，原始台帐保存完好，以备学校核查；</w:t>
      </w:r>
    </w:p>
    <w:p w14:paraId="51F87F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4.协同学校安保部门做好治安防范工作，形成群防群治体系；</w:t>
      </w:r>
    </w:p>
    <w:p w14:paraId="4926F1D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（五）岗位人员数量要求</w:t>
      </w:r>
    </w:p>
    <w:p w14:paraId="4BC308D4">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投标人必须按招标人确定的下列岗位人员数量要求，配备保安力量。保安人数4人，白班2人（其中保安队长1人）、晚班2人，06: 30-0</w:t>
      </w:r>
      <w:r>
        <w:rPr>
          <w:rFonts w:ascii="宋体" w:hAnsi="宋体" w:cs="宋体"/>
          <w:color w:val="auto"/>
          <w:szCs w:val="21"/>
          <w:highlight w:val="none"/>
        </w:rPr>
        <w:t>7</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0与18:30-21:00在两个时间段需要3人在岗。</w:t>
      </w:r>
    </w:p>
    <w:p w14:paraId="2EBD8A65">
      <w:pPr>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14、</w:t>
      </w:r>
      <w:r>
        <w:rPr>
          <w:rFonts w:hint="eastAsia" w:ascii="宋体" w:hAnsi="宋体" w:cs="宋体"/>
          <w:b/>
          <w:bCs/>
          <w:color w:val="auto"/>
          <w:szCs w:val="21"/>
          <w:highlight w:val="none"/>
        </w:rPr>
        <w:t>承担风险</w:t>
      </w:r>
    </w:p>
    <w:p w14:paraId="4CECDAA9">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14.1学校将对保安服务质量进行全过程监控，成交供应商日常工作不到位、不达标、或有违约现象，将依据合同约定，作出相应的违约处理与处罚。</w:t>
      </w:r>
    </w:p>
    <w:p w14:paraId="3A073A01">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14.2保安人员在岗履行工作职责期间，发生自身的人身伤害、伤亡，均由成交供应商负责处理并承担经济和道义上的责任，采购人不承担任何责任。</w:t>
      </w:r>
    </w:p>
    <w:p w14:paraId="770EC677">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14.3成交供应商违反国家相关法规，与聘用人员发生纠纷，均由成交供应商负责调解与处理，采购人不承担责任。</w:t>
      </w:r>
    </w:p>
    <w:p w14:paraId="4FEA3C42">
      <w:pPr>
        <w:pStyle w:val="13"/>
        <w:snapToGrid w:val="0"/>
        <w:spacing w:line="360" w:lineRule="auto"/>
        <w:ind w:firstLine="420" w:firstLineChars="200"/>
        <w:rPr>
          <w:rFonts w:hAnsi="宋体" w:cs="宋体"/>
          <w:color w:val="auto"/>
          <w:sz w:val="21"/>
          <w:highlight w:val="none"/>
        </w:rPr>
      </w:pPr>
      <w:r>
        <w:rPr>
          <w:rFonts w:hint="eastAsia" w:hAnsi="宋体" w:cs="宋体"/>
          <w:color w:val="auto"/>
          <w:sz w:val="21"/>
          <w:highlight w:val="none"/>
        </w:rPr>
        <w:t>14.4成交供应商在保安服务中违反国家相关法规或保安行业规范，因过失造成他人人身伤亡的，均由成交供应商负责处理并承担经济和道义上的责任，采购人不承担任何责任。</w:t>
      </w:r>
    </w:p>
    <w:p w14:paraId="5272770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15、关于成交供应商相关违规行为的处理规定</w:t>
      </w:r>
    </w:p>
    <w:p w14:paraId="1CE0E3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 吸烟、容留吸烟等违规行为</w:t>
      </w:r>
    </w:p>
    <w:p w14:paraId="7DBE54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首次发现在传达室等相关严禁吸烟区域吸烟或容留他人吸烟的行为，一经发现严肃谈话问责，当事人及成交供应商作书面检查反思直至校方认可，校方有权扣除成交供应商50——100元以示警醒；对不服从问责、不认真检查反思及问责处理后仍发现吸烟的，直接解除或调离在我校任职保安的资格，如成交供应商不能履行相关管理职责的，我校有权解除相关合同协议。</w:t>
      </w:r>
    </w:p>
    <w:p w14:paraId="1AA2D3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 擅自离岗、脱岗等失职行为</w:t>
      </w:r>
    </w:p>
    <w:p w14:paraId="59AD80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首次发现在工作时间擅自离岗、脱岗等失职行为，一经发现严肃谈话问责，当事人及成交供应商作书面检查反思直至校方认可，校方有权扣除成交供应商100——200元以示惩罚；对不服从问责、不认真检查反思及问责处理后仍发现擅自离岗、脱岗等行为，直接解除或调离在我校任职保安的资格，如成交供应商不能履行相关管理职责的，我校有权解除相关合同协议。</w:t>
      </w:r>
    </w:p>
    <w:p w14:paraId="23C189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 重大责任事故处理</w:t>
      </w:r>
    </w:p>
    <w:p w14:paraId="4FEF52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般事故（III级）‌：当事人及成交供应商作书面检查、承担经济赔偿。校方视情节给予成交供应商500——1000元处罚，直接责任人解除或调离在我校任职保安的资格，如成交供应商不能履行相关管理职责的，我校有权解除相关合同协议。</w:t>
      </w:r>
    </w:p>
    <w:p w14:paraId="354E5A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较大事故（II级）‌：当事人及成交供应商作书面检查、追究成交供应商相关经济和安全责任。校方视情节给予成交供应商1000——3000元处罚，直接责任人解除或调离在我校任职保安的资格，如成交供应商不能履行相关管理职责的，我校有权解除相关合同协议。</w:t>
      </w:r>
    </w:p>
    <w:p w14:paraId="51A35D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‌重大事故（I级）‌：直接解除相关合同协议。涉及犯罪的，移交司法机关追究刑事责任‌和经济赔偿责任。</w:t>
      </w:r>
    </w:p>
    <w:p w14:paraId="230651D1">
      <w:pPr>
        <w:pStyle w:val="2"/>
        <w:ind w:firstLine="473"/>
        <w:rPr>
          <w:color w:val="auto"/>
          <w:sz w:val="21"/>
          <w:szCs w:val="21"/>
          <w:highlight w:val="none"/>
        </w:rPr>
      </w:pPr>
      <w:r>
        <w:rPr>
          <w:rFonts w:hint="eastAsia"/>
          <w:color w:val="auto"/>
          <w:sz w:val="21"/>
          <w:szCs w:val="21"/>
          <w:highlight w:val="none"/>
        </w:rPr>
        <w:t>15.4 成交供应商怠于处理安全责任事故或人身伤亡事故，造成学校被堵、被围或影响教学秩序或使学校名誉受损的，学校有权解除本合同，并要求成交供应商承担违约责任。</w:t>
      </w:r>
    </w:p>
    <w:p w14:paraId="58852D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15.5 成交供应商如发生上述违规行为导致校方解除相关合同协议，成交供应商应承担合同协议约定的违约责任，</w:t>
      </w:r>
      <w:r>
        <w:rPr>
          <w:rFonts w:hint="eastAsia" w:ascii="宋体" w:hAnsi="宋体" w:cs="宋体"/>
          <w:color w:val="auto"/>
          <w:szCs w:val="21"/>
          <w:highlight w:val="none"/>
          <w:shd w:val="pct15" w:color="auto" w:fill="FFFFFF"/>
        </w:rPr>
        <w:t>违约金以本合同标的额百分之五计算。</w:t>
      </w:r>
    </w:p>
    <w:p w14:paraId="2BE0AF17">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15.6 本规定作为招投标文件的组成部分，投标人在投标前应仔细阅读，充分理解。投标人一旦中标，本规定自动作为合同协议的附件，对投标人具有法律约束力。</w:t>
      </w:r>
    </w:p>
    <w:p w14:paraId="19ECABD0">
      <w:pPr>
        <w:pStyle w:val="22"/>
        <w:widowControl w:val="0"/>
        <w:snapToGrid w:val="0"/>
        <w:spacing w:before="0" w:beforeAutospacing="0" w:after="0" w:afterAutospacing="0" w:line="360" w:lineRule="auto"/>
        <w:ind w:firstLine="422" w:firstLineChars="200"/>
        <w:jc w:val="both"/>
        <w:rPr>
          <w:b/>
          <w:color w:val="auto"/>
          <w:kern w:val="2"/>
          <w:sz w:val="21"/>
          <w:szCs w:val="21"/>
          <w:highlight w:val="none"/>
        </w:rPr>
      </w:pPr>
      <w:r>
        <w:rPr>
          <w:rFonts w:hint="eastAsia"/>
          <w:b/>
          <w:color w:val="auto"/>
          <w:kern w:val="2"/>
          <w:sz w:val="21"/>
          <w:szCs w:val="21"/>
          <w:highlight w:val="none"/>
        </w:rPr>
        <w:t>16、不可抗力事件处理</w:t>
      </w:r>
    </w:p>
    <w:p w14:paraId="1B986448">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78A3E399">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天以上，双方应通过友好协商，确定是否继续履行合同。</w:t>
      </w:r>
    </w:p>
    <w:p w14:paraId="0650D110">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17、争议解决</w:t>
      </w:r>
    </w:p>
    <w:p w14:paraId="2B0A7681">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16.1因履行本合同引起的或与本合同有关的争议，甲、乙双方应首先通过友好协商解决；如果协商不能解决争议，甲乙双方同意采取下列两种方式的第</w:t>
      </w:r>
      <w:r>
        <w:rPr>
          <w:rFonts w:hint="eastAsia"/>
          <w:color w:val="auto"/>
          <w:kern w:val="2"/>
          <w:sz w:val="21"/>
          <w:szCs w:val="21"/>
          <w:highlight w:val="none"/>
          <w:u w:val="single"/>
        </w:rPr>
        <w:t>（  ）</w:t>
      </w:r>
      <w:r>
        <w:rPr>
          <w:rFonts w:hint="eastAsia"/>
          <w:color w:val="auto"/>
          <w:kern w:val="2"/>
          <w:sz w:val="21"/>
          <w:szCs w:val="21"/>
          <w:highlight w:val="none"/>
        </w:rPr>
        <w:t>种方式解决争议：</w:t>
      </w:r>
    </w:p>
    <w:p w14:paraId="3C1ADD8C">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（1）向甲方所在地有管辖权的人民法院提起诉讼，适用中华人民共和国法律；</w:t>
      </w:r>
    </w:p>
    <w:p w14:paraId="15C25FA9">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（2）向扬州仲裁委员会按其仲裁规则申请仲裁。</w:t>
      </w:r>
    </w:p>
    <w:p w14:paraId="248D0F93">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16.2若甲乙双方任何一方都没有选择解除合同的，为避免扩大损失，在诉讼或仲裁期间，双方应继续履行。</w:t>
      </w:r>
    </w:p>
    <w:p w14:paraId="30236481">
      <w:pPr>
        <w:pStyle w:val="22"/>
        <w:widowControl w:val="0"/>
        <w:snapToGrid w:val="0"/>
        <w:spacing w:before="0" w:beforeAutospacing="0" w:after="0" w:afterAutospacing="0" w:line="360" w:lineRule="auto"/>
        <w:ind w:firstLine="422" w:firstLineChars="200"/>
        <w:jc w:val="both"/>
        <w:rPr>
          <w:b/>
          <w:color w:val="auto"/>
          <w:sz w:val="21"/>
          <w:szCs w:val="21"/>
          <w:highlight w:val="none"/>
        </w:rPr>
      </w:pPr>
      <w:r>
        <w:rPr>
          <w:rFonts w:hint="eastAsia"/>
          <w:b/>
          <w:color w:val="auto"/>
          <w:kern w:val="2"/>
          <w:sz w:val="21"/>
          <w:szCs w:val="21"/>
          <w:highlight w:val="none"/>
        </w:rPr>
        <w:t>18、合同其它</w:t>
      </w:r>
    </w:p>
    <w:p w14:paraId="0E767408">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18.1 乙方应诚实信用，严格按照谈判采购文件要求和投标承诺履行合同，不向甲方进行商业贿赂或者提供不正当利益。</w:t>
      </w:r>
    </w:p>
    <w:p w14:paraId="0F12CB14">
      <w:pPr>
        <w:pStyle w:val="22"/>
        <w:widowControl w:val="0"/>
        <w:snapToGrid w:val="0"/>
        <w:spacing w:before="0" w:beforeAutospacing="0" w:after="0" w:afterAutospacing="0" w:line="360" w:lineRule="auto"/>
        <w:ind w:firstLine="420" w:firstLineChars="200"/>
        <w:jc w:val="both"/>
        <w:rPr>
          <w:color w:val="auto"/>
          <w:sz w:val="21"/>
          <w:szCs w:val="21"/>
          <w:highlight w:val="none"/>
          <w:u w:val="single"/>
        </w:rPr>
      </w:pPr>
      <w:r>
        <w:rPr>
          <w:rFonts w:hint="eastAsia"/>
          <w:color w:val="auto"/>
          <w:kern w:val="2"/>
          <w:sz w:val="21"/>
          <w:szCs w:val="21"/>
          <w:highlight w:val="none"/>
        </w:rPr>
        <w:t>18.2 合同经双方法定代表人或授权代表签字并加盖单位公章，并经扬州市公共资源交易中心见证盖章后生效。</w:t>
      </w:r>
    </w:p>
    <w:p w14:paraId="2889F8C0">
      <w:pPr>
        <w:pStyle w:val="22"/>
        <w:widowControl w:val="0"/>
        <w:snapToGrid w:val="0"/>
        <w:spacing w:before="0" w:beforeAutospacing="0" w:after="0" w:afterAutospacing="0" w:line="360" w:lineRule="auto"/>
        <w:ind w:firstLine="420" w:firstLineChars="200"/>
        <w:jc w:val="both"/>
        <w:rPr>
          <w:color w:val="auto"/>
          <w:sz w:val="21"/>
          <w:szCs w:val="21"/>
          <w:highlight w:val="none"/>
          <w:u w:val="single"/>
        </w:rPr>
      </w:pPr>
      <w:r>
        <w:rPr>
          <w:rFonts w:hint="eastAsia"/>
          <w:color w:val="auto"/>
          <w:kern w:val="2"/>
          <w:sz w:val="21"/>
          <w:szCs w:val="21"/>
          <w:highlight w:val="none"/>
        </w:rPr>
        <w:t>18.3本合同未尽事宜，遵照《民法典》有关条文执行。</w:t>
      </w:r>
    </w:p>
    <w:p w14:paraId="2E0DFFD1">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18.4 本合同正本一式六份，具有同等法律效力，甲方、乙方各执三份。</w:t>
      </w:r>
    </w:p>
    <w:p w14:paraId="017A054C">
      <w:pPr>
        <w:pStyle w:val="22"/>
        <w:widowControl w:val="0"/>
        <w:snapToGrid w:val="0"/>
        <w:spacing w:before="0" w:beforeAutospacing="0" w:after="0" w:afterAutospacing="0" w:line="360" w:lineRule="auto"/>
        <w:ind w:firstLine="420" w:firstLineChars="200"/>
        <w:jc w:val="both"/>
        <w:rPr>
          <w:color w:val="auto"/>
          <w:sz w:val="21"/>
          <w:szCs w:val="21"/>
          <w:highlight w:val="none"/>
        </w:rPr>
      </w:pPr>
    </w:p>
    <w:p w14:paraId="0A939BA9">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 xml:space="preserve">  甲方：                    </w:t>
      </w:r>
      <w:r>
        <w:rPr>
          <w:rFonts w:hint="eastAsia"/>
          <w:color w:val="auto"/>
          <w:kern w:val="2"/>
          <w:sz w:val="21"/>
          <w:szCs w:val="21"/>
          <w:highlight w:val="none"/>
        </w:rPr>
        <w:tab/>
      </w:r>
      <w:r>
        <w:rPr>
          <w:rFonts w:hint="eastAsia"/>
          <w:color w:val="auto"/>
          <w:kern w:val="2"/>
          <w:sz w:val="21"/>
          <w:szCs w:val="21"/>
          <w:highlight w:val="none"/>
        </w:rPr>
        <w:tab/>
      </w:r>
      <w:r>
        <w:rPr>
          <w:rFonts w:hint="eastAsia"/>
          <w:color w:val="auto"/>
          <w:kern w:val="2"/>
          <w:sz w:val="21"/>
          <w:szCs w:val="21"/>
          <w:highlight w:val="none"/>
        </w:rPr>
        <w:tab/>
      </w:r>
      <w:r>
        <w:rPr>
          <w:rFonts w:hint="eastAsia"/>
          <w:color w:val="auto"/>
          <w:kern w:val="2"/>
          <w:sz w:val="21"/>
          <w:szCs w:val="21"/>
          <w:highlight w:val="none"/>
        </w:rPr>
        <w:t xml:space="preserve">   乙方： </w:t>
      </w:r>
    </w:p>
    <w:p w14:paraId="0CCEAA71">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 xml:space="preserve">  地址：</w:t>
      </w:r>
      <w:r>
        <w:rPr>
          <w:rFonts w:hint="eastAsia"/>
          <w:color w:val="auto"/>
          <w:kern w:val="2"/>
          <w:sz w:val="21"/>
          <w:szCs w:val="21"/>
          <w:highlight w:val="none"/>
        </w:rPr>
        <w:tab/>
      </w:r>
      <w:r>
        <w:rPr>
          <w:rFonts w:hint="eastAsia"/>
          <w:color w:val="auto"/>
          <w:kern w:val="2"/>
          <w:sz w:val="21"/>
          <w:szCs w:val="21"/>
          <w:highlight w:val="none"/>
        </w:rPr>
        <w:tab/>
      </w:r>
      <w:r>
        <w:rPr>
          <w:rFonts w:hint="eastAsia"/>
          <w:color w:val="auto"/>
          <w:kern w:val="2"/>
          <w:sz w:val="21"/>
          <w:szCs w:val="21"/>
          <w:highlight w:val="none"/>
        </w:rPr>
        <w:tab/>
      </w:r>
      <w:r>
        <w:rPr>
          <w:rFonts w:hint="eastAsia"/>
          <w:color w:val="auto"/>
          <w:kern w:val="2"/>
          <w:sz w:val="21"/>
          <w:szCs w:val="21"/>
          <w:highlight w:val="none"/>
        </w:rPr>
        <w:tab/>
      </w:r>
      <w:r>
        <w:rPr>
          <w:rFonts w:hint="eastAsia"/>
          <w:color w:val="auto"/>
          <w:kern w:val="2"/>
          <w:sz w:val="21"/>
          <w:szCs w:val="21"/>
          <w:highlight w:val="none"/>
        </w:rPr>
        <w:t xml:space="preserve">                   地址： </w:t>
      </w:r>
    </w:p>
    <w:p w14:paraId="65863753">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 xml:space="preserve">  法定代表人或授权代表：                   法定代表人或授权代表：</w:t>
      </w:r>
    </w:p>
    <w:p w14:paraId="399966A2">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 xml:space="preserve">  联系电话：                               联系电话：</w:t>
      </w:r>
    </w:p>
    <w:p w14:paraId="3E76F77F">
      <w:pPr>
        <w:pStyle w:val="22"/>
        <w:widowControl w:val="0"/>
        <w:snapToGrid w:val="0"/>
        <w:spacing w:before="0" w:beforeAutospacing="0" w:after="0" w:afterAutospacing="0" w:line="360" w:lineRule="auto"/>
        <w:ind w:firstLine="420" w:firstLineChars="200"/>
        <w:jc w:val="both"/>
        <w:rPr>
          <w:color w:val="auto"/>
          <w:sz w:val="21"/>
          <w:szCs w:val="21"/>
          <w:highlight w:val="none"/>
        </w:rPr>
      </w:pPr>
      <w:r>
        <w:rPr>
          <w:rFonts w:hint="eastAsia"/>
          <w:color w:val="auto"/>
          <w:kern w:val="2"/>
          <w:sz w:val="21"/>
          <w:szCs w:val="21"/>
          <w:highlight w:val="none"/>
        </w:rPr>
        <w:t>日期：      年    月    日               日期：      年    月    日</w:t>
      </w:r>
    </w:p>
    <w:p w14:paraId="64CEA51D">
      <w:pPr>
        <w:pStyle w:val="22"/>
        <w:widowControl w:val="0"/>
        <w:snapToGrid w:val="0"/>
        <w:spacing w:before="0" w:beforeAutospacing="0" w:after="0" w:afterAutospacing="0" w:line="360" w:lineRule="auto"/>
        <w:ind w:firstLine="420" w:firstLineChars="200"/>
        <w:jc w:val="both"/>
        <w:rPr>
          <w:color w:val="auto"/>
          <w:sz w:val="21"/>
          <w:szCs w:val="21"/>
          <w:highlight w:val="none"/>
        </w:rPr>
      </w:pPr>
    </w:p>
    <w:p w14:paraId="65CFBF60">
      <w:pPr>
        <w:rPr>
          <w:rFonts w:ascii="Times New Roman" w:hAnsi="Times New Roman"/>
          <w:color w:val="auto"/>
          <w:sz w:val="21"/>
          <w:highlight w:val="none"/>
        </w:rPr>
      </w:pPr>
      <w:r>
        <w:rPr>
          <w:rFonts w:ascii="Times New Roman" w:hAnsi="Times New Roman"/>
          <w:color w:val="auto"/>
          <w:sz w:val="21"/>
          <w:highlight w:val="none"/>
        </w:rPr>
        <w:br w:type="page"/>
      </w:r>
    </w:p>
    <w:p w14:paraId="47156911">
      <w:pPr>
        <w:pStyle w:val="4"/>
        <w:numPr>
          <w:ilvl w:val="0"/>
          <w:numId w:val="3"/>
        </w:numPr>
        <w:jc w:val="center"/>
        <w:rPr>
          <w:color w:val="auto"/>
          <w:sz w:val="36"/>
          <w:highlight w:val="none"/>
        </w:rPr>
      </w:pPr>
      <w:r>
        <w:rPr>
          <w:rFonts w:hint="eastAsia"/>
          <w:color w:val="auto"/>
          <w:sz w:val="36"/>
          <w:highlight w:val="none"/>
        </w:rPr>
        <w:t>项目需求</w:t>
      </w:r>
    </w:p>
    <w:p w14:paraId="206931B0">
      <w:pPr>
        <w:pStyle w:val="6"/>
        <w:spacing w:before="0" w:after="0" w:line="312" w:lineRule="auto"/>
        <w:ind w:firstLine="422" w:firstLineChars="200"/>
        <w:rPr>
          <w:rFonts w:ascii="宋体" w:hAnsi="宋体" w:cs="宋体"/>
          <w:bCs/>
          <w:color w:val="auto"/>
          <w:kern w:val="2"/>
          <w:sz w:val="21"/>
          <w:szCs w:val="21"/>
          <w:highlight w:val="none"/>
        </w:rPr>
      </w:pPr>
      <w:bookmarkStart w:id="124" w:name="_Toc27684"/>
      <w:bookmarkStart w:id="125" w:name="_Toc31009"/>
      <w:bookmarkStart w:id="126" w:name="_Toc11734"/>
      <w:r>
        <w:rPr>
          <w:rFonts w:hint="eastAsia" w:ascii="宋体" w:hAnsi="宋体" w:cs="宋体"/>
          <w:bCs/>
          <w:color w:val="auto"/>
          <w:kern w:val="2"/>
          <w:sz w:val="21"/>
          <w:szCs w:val="21"/>
          <w:highlight w:val="none"/>
        </w:rPr>
        <w:t>一、项目一览表</w:t>
      </w:r>
      <w:bookmarkEnd w:id="124"/>
      <w:bookmarkEnd w:id="125"/>
      <w:bookmarkEnd w:id="12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7"/>
        <w:gridCol w:w="2189"/>
        <w:gridCol w:w="2130"/>
      </w:tblGrid>
      <w:tr w14:paraId="7915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897" w:type="dxa"/>
            <w:vAlign w:val="center"/>
          </w:tcPr>
          <w:p w14:paraId="44402CFF">
            <w:pPr>
              <w:widowControl/>
              <w:spacing w:line="360" w:lineRule="auto"/>
              <w:jc w:val="center"/>
              <w:rPr>
                <w:rFonts w:ascii="宋体" w:hAnsi="宋体" w:cs="宋体"/>
                <w:bCs/>
                <w:color w:val="auto"/>
                <w:kern w:val="0"/>
                <w:szCs w:val="24"/>
                <w:highlight w:val="none"/>
              </w:rPr>
            </w:pPr>
            <w:r>
              <w:rPr>
                <w:rFonts w:hint="eastAsia" w:ascii="宋体" w:hAnsi="宋体" w:cs="宋体"/>
                <w:bCs/>
                <w:color w:val="auto"/>
                <w:kern w:val="0"/>
                <w:szCs w:val="24"/>
                <w:highlight w:val="none"/>
              </w:rPr>
              <w:t>项目名称</w:t>
            </w:r>
          </w:p>
        </w:tc>
        <w:tc>
          <w:tcPr>
            <w:tcW w:w="2189" w:type="dxa"/>
            <w:vAlign w:val="center"/>
          </w:tcPr>
          <w:p w14:paraId="553A4B74">
            <w:pPr>
              <w:widowControl/>
              <w:spacing w:line="360" w:lineRule="auto"/>
              <w:ind w:firstLine="210" w:firstLineChars="100"/>
              <w:rPr>
                <w:rFonts w:ascii="宋体" w:hAnsi="宋体" w:cs="宋体"/>
                <w:bCs/>
                <w:color w:val="auto"/>
                <w:kern w:val="0"/>
                <w:szCs w:val="24"/>
                <w:highlight w:val="none"/>
              </w:rPr>
            </w:pPr>
            <w:r>
              <w:rPr>
                <w:rFonts w:hint="eastAsia" w:ascii="宋体" w:hAnsi="宋体" w:cs="宋体"/>
                <w:bCs/>
                <w:color w:val="auto"/>
                <w:kern w:val="0"/>
                <w:szCs w:val="24"/>
                <w:highlight w:val="none"/>
              </w:rPr>
              <w:t>采购预算（元）</w:t>
            </w:r>
          </w:p>
        </w:tc>
        <w:tc>
          <w:tcPr>
            <w:tcW w:w="2130" w:type="dxa"/>
            <w:vAlign w:val="center"/>
          </w:tcPr>
          <w:p w14:paraId="2B0D9960">
            <w:pPr>
              <w:spacing w:line="360" w:lineRule="auto"/>
              <w:jc w:val="center"/>
              <w:rPr>
                <w:rFonts w:ascii="宋体" w:hAnsi="宋体" w:cs="宋体"/>
                <w:bCs/>
                <w:color w:val="auto"/>
                <w:kern w:val="0"/>
                <w:szCs w:val="24"/>
                <w:highlight w:val="none"/>
              </w:rPr>
            </w:pPr>
            <w:r>
              <w:rPr>
                <w:rFonts w:hint="eastAsia" w:ascii="宋体" w:hAnsi="宋体" w:cs="宋体"/>
                <w:bCs/>
                <w:color w:val="auto"/>
                <w:kern w:val="0"/>
                <w:szCs w:val="24"/>
                <w:highlight w:val="none"/>
              </w:rPr>
              <w:t>成交供应商数量（名）</w:t>
            </w:r>
          </w:p>
        </w:tc>
      </w:tr>
      <w:tr w14:paraId="19F5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897" w:type="dxa"/>
            <w:vAlign w:val="center"/>
          </w:tcPr>
          <w:p w14:paraId="6BFF65F4">
            <w:pPr>
              <w:spacing w:line="380" w:lineRule="exact"/>
              <w:jc w:val="center"/>
              <w:rPr>
                <w:rFonts w:ascii="宋体" w:hAnsi="宋体" w:cs="宋体"/>
                <w:color w:val="auto"/>
                <w:kern w:val="0"/>
                <w:szCs w:val="21"/>
                <w:highlight w:val="none"/>
                <w:u w:val="single"/>
              </w:rPr>
            </w:pPr>
            <w:r>
              <w:rPr>
                <w:rFonts w:hint="eastAsia" w:ascii="宋体" w:hAnsi="宋体" w:cs="宋体"/>
                <w:b/>
                <w:bCs/>
                <w:color w:val="auto"/>
                <w:kern w:val="0"/>
                <w:szCs w:val="21"/>
                <w:highlight w:val="none"/>
                <w:lang w:val="zh-CN"/>
              </w:rPr>
              <w:t>扬州市翠岗中学校园门卫保安服务项目</w:t>
            </w:r>
          </w:p>
        </w:tc>
        <w:tc>
          <w:tcPr>
            <w:tcW w:w="2189" w:type="dxa"/>
            <w:vAlign w:val="center"/>
          </w:tcPr>
          <w:p w14:paraId="3ECC7187">
            <w:pPr>
              <w:widowControl/>
              <w:spacing w:line="380" w:lineRule="exact"/>
              <w:jc w:val="center"/>
              <w:rPr>
                <w:rFonts w:ascii="宋体" w:hAnsi="宋体" w:cs="宋体"/>
                <w:color w:val="auto"/>
                <w:kern w:val="0"/>
                <w:szCs w:val="24"/>
                <w:highlight w:val="none"/>
                <w:u w:val="single"/>
              </w:rPr>
            </w:pPr>
            <w:r>
              <w:rPr>
                <w:rFonts w:hint="eastAsia" w:ascii="宋体" w:hAnsi="宋体" w:cs="宋体"/>
                <w:b/>
                <w:bCs/>
                <w:color w:val="auto"/>
                <w:kern w:val="0"/>
                <w:szCs w:val="21"/>
                <w:highlight w:val="none"/>
              </w:rPr>
              <w:t>272000</w:t>
            </w:r>
          </w:p>
        </w:tc>
        <w:tc>
          <w:tcPr>
            <w:tcW w:w="2130" w:type="dxa"/>
            <w:vAlign w:val="center"/>
          </w:tcPr>
          <w:p w14:paraId="71A96A6F">
            <w:pPr>
              <w:widowControl/>
              <w:spacing w:line="360" w:lineRule="auto"/>
              <w:jc w:val="center"/>
              <w:rPr>
                <w:rFonts w:ascii="宋体" w:hAnsi="宋体" w:cs="宋体"/>
                <w:b/>
                <w:color w:val="auto"/>
                <w:szCs w:val="21"/>
                <w:highlight w:val="none"/>
              </w:rPr>
            </w:pPr>
            <w:r>
              <w:rPr>
                <w:rFonts w:hint="eastAsia" w:ascii="宋体" w:hAnsi="宋体" w:cs="宋体"/>
                <w:color w:val="auto"/>
                <w:kern w:val="0"/>
                <w:szCs w:val="24"/>
                <w:highlight w:val="none"/>
              </w:rPr>
              <w:t>1</w:t>
            </w:r>
          </w:p>
        </w:tc>
      </w:tr>
    </w:tbl>
    <w:p w14:paraId="6FFC937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二、校园基本情况 </w:t>
      </w:r>
    </w:p>
    <w:p w14:paraId="0B36E8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学校地址位于扬州市维扬路459号，占地60余亩。在校生1800余人，现有学校大门（西门），学校安全保卫机构健全，由学校学工处，全面负责学校安全保卫工作。</w:t>
      </w:r>
    </w:p>
    <w:p w14:paraId="47AB2DD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三、保安服务的主要职责</w:t>
      </w:r>
    </w:p>
    <w:p w14:paraId="0BBA47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（一）负责校园门卫管理，维持校园秩序，维护校园稳定，及时发现和消除安全隐患；</w:t>
      </w:r>
    </w:p>
    <w:p w14:paraId="6F445B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（二）对进出校园的车辆和人员进行询问，登记；无校方颁发的车辆出入证和未经联系、未得到校方同意进入的车辆禁止驶入校园；</w:t>
      </w:r>
    </w:p>
    <w:p w14:paraId="72F0AA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（三）装载校内物品出校，必须出具主管部门单位的有效证明并经门卫执勤人员查验登记后方可放行；</w:t>
      </w:r>
    </w:p>
    <w:p w14:paraId="2081D0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（四）校门两侧不得随意停靠各种车辆，校门两侧50米不能摆摊设点、堆放各种杂物；</w:t>
      </w:r>
    </w:p>
    <w:p w14:paraId="0A41E2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（五）夜班值班保安21:30开始巡查学校车库、教学楼、办公楼、文锦馆、错石堂、体育馆、食堂，并负责关灯、锁门。</w:t>
      </w:r>
    </w:p>
    <w:p w14:paraId="6AC977E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四、具体管理事项</w:t>
      </w:r>
    </w:p>
    <w:p w14:paraId="439D2480">
      <w:pP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rPr>
        <w:t>（一）岗位制度</w:t>
      </w:r>
    </w:p>
    <w:p w14:paraId="74131E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1.固定岗的责任区为：校门。流动岗：校园巡逻、治安疏导与管理。</w:t>
      </w:r>
    </w:p>
    <w:p w14:paraId="5FC709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2.值班时间为:全天24小时值班，夜班人员21:30-22:00负责学校所有门的上锁。</w:t>
      </w:r>
    </w:p>
    <w:p w14:paraId="4CC0EB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3.按规着装（装备）站岗，衣领、扣子、徽章、腰带、帽子、反光马甲等均需整齐。</w:t>
      </w:r>
    </w:p>
    <w:p w14:paraId="51694A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4.值岗时不得用餐、抽烟、不与人闲聊，不随意接打电话，不做与工作无关的事情，保持良好的形象。门卫值班室不得有闲杂人员进入。</w:t>
      </w:r>
    </w:p>
    <w:p w14:paraId="68E4D6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5.夜班人员不得在值班期间睡觉，洗脚，喝酒吸烟,必须按照规定时间巡逻检查。</w:t>
      </w:r>
    </w:p>
    <w:p w14:paraId="6F79427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（二）进出人员管理制度</w:t>
      </w:r>
    </w:p>
    <w:p w14:paraId="60F9E7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1.凡来访人员、学生家长，须问清情况填写好来访登记表，并联系相关人员，征得有关人员同意后，方可放行。</w:t>
      </w:r>
    </w:p>
    <w:p w14:paraId="0C81AF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学校保卫人员应认真查验进入学校的外来不明人员的相关证件，严禁闲杂人员、推销商品人员、不明身份人员进入学校，确保校园平安。对拒不出示证件或不能证明其身份的外来人员，学校保卫人员有权拒绝其进入学校并做好解释工作。 </w:t>
      </w:r>
    </w:p>
    <w:p w14:paraId="51AC6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学生一到学校就进入学校，不要让学生在校门口逗留。在校时间不允许学生外出，学生确因特殊情况需出校门时，须有由班主任签字的请假条，或有班主任及家长陪同方可离校。学校保卫人员查验后方可放行并将请假条存档备查。</w:t>
      </w:r>
    </w:p>
    <w:p w14:paraId="58C932F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（三）车辆准入放行制度</w:t>
      </w:r>
    </w:p>
    <w:p w14:paraId="2F3B44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1.学校在正常教育教学工作期间，应关闭好校门。严格控制学生在校期间，家长接送学生的自行车、三轮车和机动车辆不允许进入校园。</w:t>
      </w:r>
    </w:p>
    <w:p w14:paraId="4D89E6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2.确因工作需要进入学校的车辆或其他为学校服务的车辆，需经学校领导同意后，在保卫人员的引导下停放到指定地点，禁止鸣笛，限速行驶，确保师生安全。（特殊车辆可先放行再马上汇报）。</w:t>
      </w:r>
    </w:p>
    <w:p w14:paraId="3ED0CD5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（四）物品出入查验制度</w:t>
      </w:r>
    </w:p>
    <w:p w14:paraId="21CCCC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1.学校保卫人员对进出学校的外来人员携带的物品进行登记，对可疑物品要进行查验，严禁易燃易爆、剧毒、管制刀具等危险物品进入校园。</w:t>
      </w:r>
    </w:p>
    <w:p w14:paraId="16E1E4EA">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2.按要求分发好学校的报刊杂志，投至指定信箱，同时对送至学校的快递做好登记工作，并安要求摆放至指定位置。同时做好相关快递的收发与整理工作。</w:t>
      </w:r>
    </w:p>
    <w:p w14:paraId="2DFD65F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（五）巡逻制度</w:t>
      </w:r>
    </w:p>
    <w:p w14:paraId="0B5BE9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每天校园巡逻，上午（8:00）一次（10:00）一次，中午（11:35）一次，下午（14:00）一次（16:00）一次(17:35)一次,夜班上半夜（21:30）一次，下半夜（2:30）一次，另外21:30巡查教学楼、办公楼关灯锁门，及时做好《安全日志》记载。</w:t>
      </w:r>
    </w:p>
    <w:p w14:paraId="3BD663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巡逻时，为保持学校宁静和正常的教育教学秩序，应规劝教育有关不良行为的学生，杜绝喧哗、吵闹、打架和不安全的情况发生，杜绝浪费、损坏公物、破坏花草树木的情况发生。同时及时劝回在教学区域逗留的行人。</w:t>
      </w:r>
    </w:p>
    <w:p w14:paraId="341F4B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3.放学后做好清校工作，巡查校园教室、车库等区域，规劝个别学生离校回家，不得在校逗留。</w:t>
      </w:r>
    </w:p>
    <w:p w14:paraId="05F1A11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 （六）其他工作</w:t>
      </w:r>
    </w:p>
    <w:p w14:paraId="64B299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1.学校保安人员肩负着学校安全保卫重任，要有高度的责任感，严格遵守保安职业道德，按要求在岗轮流值班，不得擅自离岗。</w:t>
      </w:r>
    </w:p>
    <w:p w14:paraId="47D9DB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学生在上学放学时间内，要主动疏导交通，要及时排除校门外(离校门50米内)的摊点、车辆堵塞障碍物，有效疏通交通拥挤现象。按时做好大门的开关工作(早上六点半之后准时打开校门，放学后师生离校后关校门)，做到门开人在。</w:t>
      </w:r>
    </w:p>
    <w:p w14:paraId="5B9DC7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3.态度和蔼、语言谦虚，不急不躁，认真细致；不得冷淡、刁难、嘲笑，不得与学生打闹。对方态度不好，一定要耐心解释。</w:t>
      </w:r>
    </w:p>
    <w:p w14:paraId="7972CE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4.与教师，学生或来访者交谈要使用普通话，说话要清楚，用词准确、言简易懂，不讲与工作无关的话，不讲有损学校形象的话。</w:t>
      </w:r>
    </w:p>
    <w:p w14:paraId="1DEB15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5.教师及领导到来，应主动迎接，认真听取老师和领导的意见，遇需要帮助的事情在保证安全的前提下提供力所能及的帮助，因影响安全不能帮助的，应主动解释力求得到谅解。</w:t>
      </w:r>
    </w:p>
    <w:p w14:paraId="344188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6.各种意见或投诉、要认真听取，弄清情况，做好笔录，即时处理，如非本职工作范围，即时通知责任人或向领导汇报。</w:t>
      </w:r>
    </w:p>
    <w:p w14:paraId="152454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7.及时整理传达室，确保传达室干净，严禁闲杂人员逗留。</w:t>
      </w:r>
    </w:p>
    <w:p w14:paraId="3160FF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8.妥善保管好头盔、橡皮警棍、武装带、防割手套、催泪喷雾器等八件套及盾牌、叉等应急器械，上学、放学期间，持械上岗。</w:t>
      </w:r>
    </w:p>
    <w:p w14:paraId="6CC52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9.学校出现突发事件，保安成交供应商必须在半小时内增派保安到现场。</w:t>
      </w:r>
    </w:p>
    <w:p w14:paraId="0A30AA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10.保安人员应在校长、主任的领导下，严格执行好以上制度。如因工作失职，造成学校财产损失或人员伤亡，需承担相应责任。</w:t>
      </w:r>
    </w:p>
    <w:p w14:paraId="29475380">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五、投标单位资质要求</w:t>
      </w:r>
    </w:p>
    <w:p w14:paraId="6333E8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（一）投标单位必须是具备法人资格的保安成交供应商，具备良好的从业信誉和安全保卫经验，有完善的管理体系和健全的内部管理规章制度。</w:t>
      </w:r>
    </w:p>
    <w:p w14:paraId="127F9D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（二）投标单位应认真研究学校保安服务的教育属性，熟悉校园管理的特点，根据校园内的不同服务对象，制订切实可行的校园保安服务整体方案，完善专项管理制度。</w:t>
      </w:r>
    </w:p>
    <w:p w14:paraId="338D85F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六、项目管理要求</w:t>
      </w:r>
    </w:p>
    <w:p w14:paraId="05F2705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（一）质量目标要求</w:t>
      </w:r>
    </w:p>
    <w:p w14:paraId="35B560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1.依托行业标准，根据校方管理规定与服务要求，制订切实可行的校园保安工作制度、服务整体方案和应急预案，突发事件反应迅速，预案处置有力；</w:t>
      </w:r>
    </w:p>
    <w:p w14:paraId="07B074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2.依法办事，文明值勤，严格管理，保障学校校财产和师生人身不受侵害，维护正常的教育教学、生活秩序；</w:t>
      </w:r>
    </w:p>
    <w:p w14:paraId="0FE125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3.全年无责任事故和责任案件发生，师生有安全感，对校园保安服务满意率在90%以上。</w:t>
      </w:r>
    </w:p>
    <w:p w14:paraId="62CC466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（二）服务要求</w:t>
      </w:r>
    </w:p>
    <w:p w14:paraId="7D00D1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1.树立“服务第一，业主至上”的思想，切实维护学校与师生的人身和财产安全；</w:t>
      </w:r>
    </w:p>
    <w:p w14:paraId="57B64E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2.管理坚持原则、慎密严谨；服务以人为本、主动热情；处理问题高度警惕、有理有节；</w:t>
      </w:r>
    </w:p>
    <w:p w14:paraId="18B66B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3.上岗人员仪表整洁，业务操作规范，礼貌待人，保持岗位卫生整洁；</w:t>
      </w:r>
    </w:p>
    <w:p w14:paraId="4E7A4D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4.依法办事，文明执勤，不与师生发生争吵，杜绝保安与师生发生冲突，禁止保安出手伤及师生人生安全，做到打不还手、骂不还口；</w:t>
      </w:r>
    </w:p>
    <w:p w14:paraId="45EB58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5.师生有求必应，有险情必出。</w:t>
      </w:r>
    </w:p>
    <w:p w14:paraId="5D3FDD7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（三）人员素质要求</w:t>
      </w:r>
    </w:p>
    <w:p w14:paraId="17336B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1.保安从业人员应知法，懂法，守法，依法办事，必须严格遵守保安从业规范，模范遵守校园安全管理规定；</w:t>
      </w:r>
    </w:p>
    <w:p w14:paraId="5BBBAA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2.保安服务队长应具备高中以上学历，有较高的政治思想素养和业务水平，有较强的组织协调能力，受过专门的保安业务培训。</w:t>
      </w:r>
    </w:p>
    <w:p w14:paraId="55353A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3.保安人员个人素质条件：必须接受过职业训练为主体，持有保安上岗证，身高1.65米以上，年龄18—55岁，身体健康，没有传染病及精神病等不能控制自己行为能力的疾病病史，体貌端正。无犯罪记录者。</w:t>
      </w:r>
    </w:p>
    <w:p w14:paraId="5A6D92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4.所聘用的保安人员有吃苦耐劳的精神和高度的责任感，受过校园保安门卫岗前培训，熟知校方的管理规定，严格履行岗位职责，善于发现各类问题，具备一定的管理经验和处理突发事件能力。</w:t>
      </w:r>
    </w:p>
    <w:p w14:paraId="24874F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5.保安服务队长要加强对保安业务的管理，确保保安在校园内无违规事件发生。</w:t>
      </w:r>
    </w:p>
    <w:p w14:paraId="31FAECE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（四）工作衔接要求</w:t>
      </w:r>
    </w:p>
    <w:p w14:paraId="2E5299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1.根据行业服务标准与校方规定要求，独立运作，落实校园安全保卫整体方案，并结合校园变化实际在实践中不断完善；</w:t>
      </w:r>
    </w:p>
    <w:p w14:paraId="0799D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2.保安服务队长须与安保处保持必要的工作交流，每天必须向安保处口头汇报工作，每星期一次向安保处书面汇报所承担的保安工作开展情况及信息反馈，重大情况须及时报告；</w:t>
      </w:r>
    </w:p>
    <w:p w14:paraId="6DF710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3.做好详细的执勤记录，原始台帐保存完好，以备学校核查；</w:t>
      </w:r>
    </w:p>
    <w:p w14:paraId="14E5EC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4.协同学校安保部门做好治安防范工作，形成群防群治体系；</w:t>
      </w:r>
    </w:p>
    <w:p w14:paraId="7A65D8D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（五）岗位人员数量要求</w:t>
      </w:r>
    </w:p>
    <w:p w14:paraId="4EB43B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投标人必须按招标人确定的下列岗位人员数量要求，配备保安力量。保安人数4人，白班2人（其中保安队长1人）、晚班2人，06: 30-0</w:t>
      </w:r>
      <w:r>
        <w:rPr>
          <w:rFonts w:ascii="宋体" w:hAnsi="宋体" w:cs="宋体"/>
          <w:color w:val="auto"/>
          <w:szCs w:val="21"/>
          <w:highlight w:val="none"/>
        </w:rPr>
        <w:t>7</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0与18:30-21:00在两个时间段需要3人在岗。</w:t>
      </w:r>
    </w:p>
    <w:p w14:paraId="16891CA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七、承担风险</w:t>
      </w:r>
    </w:p>
    <w:p w14:paraId="30DF73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1.学校将对保安服务质量进行全过程监控，中标人日常工作不到位、不达标、或有违约现象，将依据合同约定，作出相应的违约处理与处罚。</w:t>
      </w:r>
    </w:p>
    <w:p w14:paraId="6932CA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2.保安人员在岗履行工作职责期间，发生自身的人身伤害、伤亡，均由中标人负责处理并承担经济和道义上的责任，招标人不承担任何责任。</w:t>
      </w:r>
    </w:p>
    <w:p w14:paraId="669B05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3.中标人违反国家相关法规，与聘用人员发生纠纷，均由中标人负责调解与处理，招标人不承担责任。</w:t>
      </w:r>
    </w:p>
    <w:p w14:paraId="318949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4.中标人在保安服务中违反国家相关法规或保安行业规范，因过失造成他人人身伤亡的，均由中标人负责处理并承担经济和道义上的责任，招标人不承担任何责任。</w:t>
      </w:r>
    </w:p>
    <w:p w14:paraId="7367A12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八、关于保安成交供应商相关违规行为的处理规定</w:t>
      </w:r>
    </w:p>
    <w:p w14:paraId="7A387A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1、吸烟、容留吸烟等违规行为</w:t>
      </w:r>
    </w:p>
    <w:p w14:paraId="26E8CE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首次发现在传达室等相关严禁吸烟区域吸烟或容留他人吸烟的行为，一经发现严肃谈话问责，当事人及成交供应商作书面检查反思直至校方认可，校方有权扣除成交供应商50——100元以示警醒；对不服从问责、不认真检查反思及问责处理后仍发现吸烟的，直接解除或调离在我校任职保安的资格，如成交供应商不能履行相关管理职责的，我校有权解除相关合同协议。</w:t>
      </w:r>
    </w:p>
    <w:p w14:paraId="45ADBA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2、擅自离岗、脱岗等失职行为</w:t>
      </w:r>
    </w:p>
    <w:p w14:paraId="61BE14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首次发现在工作时间擅自离岗、脱岗等失职行为，一经发现严肃谈话问责，当事人及成交供应商作书面检查反思直至校方认可，校方有权扣除成交供应商100——200元以示惩罚；对不服从问责、不认真检查反思及问责处理后仍发现擅自离岗、脱岗等行为，直接解除或调离在我校任职保安的资格，如成交供应商不能履行相关管理职责的，我校有权解除相关合同协议。</w:t>
      </w:r>
    </w:p>
    <w:p w14:paraId="5E14CC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3、重大责任事故处理</w:t>
      </w:r>
    </w:p>
    <w:p w14:paraId="7F5B8D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般事故（III级）‌：当事人及成交供应商作书面检查、承担经济赔偿。校方视情节给予成交供应商500——1000元处罚，直接责任人解除或调离在我校任职保安的资格，如成交供应商不能履行相关管理职责的，我校有权解除相关合同协议。</w:t>
      </w:r>
    </w:p>
    <w:p w14:paraId="7C97DC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较大事故（II级）‌：当事人及成交供应商作书面检查、追究成交供应商相关经济和安全责任。校方视情节给予成交供应商1000——3000元处罚，直接责任人解除或调离在我校任职保安的资格，如成交供应商不能履行相关管理职责的，我校有权解除相关合同协议。</w:t>
      </w:r>
    </w:p>
    <w:p w14:paraId="2C2E44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‌重大事故（I级）‌：直接解除相关合同协议。涉及犯罪的，移交司法机关追究刑事责任‌和经济赔偿责任。</w:t>
      </w:r>
    </w:p>
    <w:p w14:paraId="743BF1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4、保安成交供应商如发生上述违规行为导致校方解除相关合同协议，保安成交供应商应承担合同协议约定的违约责任。</w:t>
      </w:r>
    </w:p>
    <w:p w14:paraId="59C486A8">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5、本规定作为招投标文件的组成部分，投标人在投标前应仔细阅读，充分理解。投标人一旦中标，本规定自动作为合同协议的附件，对投标人具有法律约束力。</w:t>
      </w:r>
    </w:p>
    <w:p w14:paraId="31A0F6BE">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九、其他</w:t>
      </w:r>
    </w:p>
    <w:p w14:paraId="377859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1.招标人不负责中标人所有工作人员的衣食住行等非合同约定事项。</w:t>
      </w:r>
    </w:p>
    <w:p w14:paraId="18A18A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2.按专业化要求配备管理服务人员，所配人员必须经招标人面试或审核同意；</w:t>
      </w:r>
    </w:p>
    <w:p w14:paraId="6553BC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报价应包括所有的费用：人员工资、法定的社会养老保险和住房公积金、节假日福利费、加班费、服装费、工具折旧费、日常耗材费、法定税费、管理费、办公费、培训费、宣传服务费、配件费和维修费等，为完成谈判采购文件规定的服务工作所涉及到的一切相关费用。</w:t>
      </w:r>
    </w:p>
    <w:p w14:paraId="0484A2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4.投标报价时，人工工资低于扬州市最低工资标准及社会保险未全员缴纳（已退休人员除外）测算的作无效报价处理。</w:t>
      </w:r>
    </w:p>
    <w:p w14:paraId="101F22E9">
      <w:pPr>
        <w:rPr>
          <w:b/>
          <w:bCs/>
          <w:color w:val="auto"/>
          <w:sz w:val="36"/>
          <w:highlight w:val="none"/>
        </w:rPr>
      </w:pPr>
      <w:r>
        <w:rPr>
          <w:b/>
          <w:bCs/>
          <w:color w:val="auto"/>
          <w:sz w:val="36"/>
          <w:highlight w:val="none"/>
        </w:rPr>
        <w:br w:type="page"/>
      </w:r>
    </w:p>
    <w:p w14:paraId="5EF98DDC">
      <w:pPr>
        <w:pStyle w:val="2"/>
        <w:ind w:firstLine="813"/>
        <w:jc w:val="center"/>
        <w:rPr>
          <w:b/>
          <w:bCs/>
          <w:color w:val="auto"/>
          <w:highlight w:val="none"/>
        </w:rPr>
      </w:pPr>
      <w:r>
        <w:rPr>
          <w:rFonts w:hint="eastAsia"/>
          <w:b/>
          <w:bCs/>
          <w:color w:val="auto"/>
          <w:sz w:val="36"/>
          <w:highlight w:val="none"/>
        </w:rPr>
        <w:t>第五章  评审方法和评审标准</w:t>
      </w:r>
    </w:p>
    <w:p w14:paraId="351341F4">
      <w:pPr>
        <w:pStyle w:val="54"/>
        <w:ind w:firstLine="422" w:firstLineChars="200"/>
        <w:rPr>
          <w:rFonts w:ascii="Times New Roman" w:hAnsi="Times New Roman"/>
          <w:b/>
          <w:color w:val="auto"/>
          <w:kern w:val="2"/>
          <w:sz w:val="21"/>
          <w:szCs w:val="21"/>
          <w:highlight w:val="none"/>
        </w:rPr>
      </w:pPr>
      <w:r>
        <w:rPr>
          <w:rFonts w:hint="eastAsia" w:ascii="Times New Roman" w:hAnsi="Times New Roman"/>
          <w:b/>
          <w:color w:val="auto"/>
          <w:kern w:val="2"/>
          <w:sz w:val="21"/>
          <w:szCs w:val="21"/>
          <w:highlight w:val="none"/>
        </w:rPr>
        <w:t>一、评审方法</w:t>
      </w:r>
    </w:p>
    <w:p w14:paraId="6268952A">
      <w:pPr>
        <w:spacing w:line="360" w:lineRule="auto"/>
        <w:ind w:firstLine="420" w:firstLineChars="200"/>
        <w:rPr>
          <w:color w:val="auto"/>
          <w:highlight w:val="none"/>
        </w:rPr>
      </w:pPr>
      <w:r>
        <w:rPr>
          <w:rFonts w:hint="eastAsia"/>
          <w:color w:val="auto"/>
          <w:highlight w:val="none"/>
        </w:rPr>
        <w:t>本项目采用综合评分法，评委会将对确定为实质性响应谈判采购文件要求的响应文件进行评价和比较。评审结果按评审后得分由高到低顺序排列。得分相同的，按响应报价由低到高顺序排列。得分且响应报价相同的并列，响应文件满足谈判采购文件全部实质性要求，且按照评审因素的量化指标评审得分最高的供应商为排名第一的成交候选人。</w:t>
      </w:r>
    </w:p>
    <w:p w14:paraId="47789AE3">
      <w:pPr>
        <w:numPr>
          <w:ilvl w:val="0"/>
          <w:numId w:val="4"/>
        </w:numPr>
        <w:spacing w:line="360" w:lineRule="auto"/>
        <w:ind w:firstLine="422" w:firstLineChars="200"/>
        <w:rPr>
          <w:b/>
          <w:color w:val="auto"/>
          <w:highlight w:val="none"/>
        </w:rPr>
      </w:pPr>
      <w:r>
        <w:rPr>
          <w:rFonts w:hint="eastAsia"/>
          <w:b/>
          <w:color w:val="auto"/>
          <w:highlight w:val="none"/>
        </w:rPr>
        <w:t>评分标准</w:t>
      </w:r>
      <w:bookmarkStart w:id="127" w:name="_Toc497145844"/>
      <w:bookmarkStart w:id="128" w:name="_Toc4979"/>
    </w:p>
    <w:tbl>
      <w:tblPr>
        <w:tblStyle w:val="26"/>
        <w:tblW w:w="96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0"/>
        <w:gridCol w:w="7748"/>
      </w:tblGrid>
      <w:tr w14:paraId="59567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jc w:val="center"/>
        </w:trPr>
        <w:tc>
          <w:tcPr>
            <w:tcW w:w="1920" w:type="dxa"/>
            <w:vAlign w:val="center"/>
          </w:tcPr>
          <w:p w14:paraId="03E008D6">
            <w:pPr>
              <w:pStyle w:val="88"/>
              <w:ind w:firstLine="525" w:firstLineChars="250"/>
              <w:rPr>
                <w:rFonts w:ascii="宋体" w:hAnsi="宋体" w:cs="宋体"/>
                <w:color w:val="auto"/>
                <w:highlight w:val="none"/>
              </w:rPr>
            </w:pPr>
            <w:r>
              <w:rPr>
                <w:rFonts w:hint="eastAsia" w:ascii="宋体" w:hAnsi="宋体" w:cs="宋体"/>
                <w:color w:val="auto"/>
                <w:highlight w:val="none"/>
              </w:rPr>
              <w:t>项  目</w:t>
            </w:r>
          </w:p>
        </w:tc>
        <w:tc>
          <w:tcPr>
            <w:tcW w:w="7748" w:type="dxa"/>
            <w:vAlign w:val="center"/>
          </w:tcPr>
          <w:p w14:paraId="402C88F1">
            <w:pPr>
              <w:pStyle w:val="88"/>
              <w:ind w:firstLine="420"/>
              <w:jc w:val="center"/>
              <w:rPr>
                <w:rFonts w:ascii="宋体" w:hAnsi="宋体" w:cs="宋体"/>
                <w:color w:val="auto"/>
                <w:highlight w:val="none"/>
              </w:rPr>
            </w:pPr>
            <w:r>
              <w:rPr>
                <w:rFonts w:hint="eastAsia" w:ascii="宋体" w:hAnsi="宋体" w:cs="宋体"/>
                <w:color w:val="auto"/>
                <w:highlight w:val="none"/>
              </w:rPr>
              <w:t>评  分  标  准</w:t>
            </w:r>
          </w:p>
        </w:tc>
      </w:tr>
      <w:tr w14:paraId="74B41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7" w:hRule="atLeast"/>
          <w:jc w:val="center"/>
        </w:trPr>
        <w:tc>
          <w:tcPr>
            <w:tcW w:w="1920" w:type="dxa"/>
            <w:vAlign w:val="center"/>
          </w:tcPr>
          <w:p w14:paraId="76940F4F">
            <w:pPr>
              <w:pStyle w:val="88"/>
              <w:ind w:firstLine="630" w:firstLineChars="300"/>
              <w:rPr>
                <w:rFonts w:ascii="宋体" w:hAnsi="宋体" w:cs="宋体"/>
                <w:color w:val="auto"/>
                <w:highlight w:val="none"/>
              </w:rPr>
            </w:pPr>
            <w:r>
              <w:rPr>
                <w:rFonts w:hint="eastAsia" w:ascii="宋体" w:hAnsi="宋体" w:cs="宋体"/>
                <w:color w:val="auto"/>
                <w:highlight w:val="none"/>
              </w:rPr>
              <w:t>价格</w:t>
            </w:r>
          </w:p>
          <w:p w14:paraId="414983E3">
            <w:pPr>
              <w:pStyle w:val="88"/>
              <w:ind w:firstLine="420" w:firstLineChars="200"/>
              <w:rPr>
                <w:rFonts w:ascii="宋体" w:hAnsi="宋体" w:cs="宋体"/>
                <w:color w:val="auto"/>
                <w:highlight w:val="none"/>
              </w:rPr>
            </w:pPr>
            <w:r>
              <w:rPr>
                <w:rFonts w:hint="eastAsia" w:ascii="宋体" w:hAnsi="宋体" w:cs="宋体"/>
                <w:color w:val="auto"/>
                <w:highlight w:val="none"/>
              </w:rPr>
              <w:t>（20分）</w:t>
            </w:r>
          </w:p>
        </w:tc>
        <w:tc>
          <w:tcPr>
            <w:tcW w:w="7748" w:type="dxa"/>
            <w:vAlign w:val="center"/>
          </w:tcPr>
          <w:p w14:paraId="2A3B0DA0">
            <w:pPr>
              <w:pStyle w:val="88"/>
              <w:rPr>
                <w:rFonts w:ascii="宋体" w:hAnsi="宋体" w:cs="宋体"/>
                <w:color w:val="auto"/>
                <w:highlight w:val="none"/>
              </w:rPr>
            </w:pPr>
            <w:r>
              <w:rPr>
                <w:rFonts w:hint="eastAsia" w:ascii="宋体" w:hAnsi="宋体" w:cs="宋体"/>
                <w:color w:val="auto"/>
                <w:highlight w:val="none"/>
              </w:rPr>
              <w:t>以满足谈判采购文件要求的最低报价为评标基准价，得满分20分，其他报价得分=（评标基准价/其他投标报价）×20×100%，保留两位小数。</w:t>
            </w:r>
          </w:p>
          <w:p w14:paraId="5ABB3BE9">
            <w:pPr>
              <w:pStyle w:val="88"/>
              <w:rPr>
                <w:rFonts w:ascii="宋体" w:hAnsi="宋体" w:cs="宋体"/>
                <w:color w:val="auto"/>
                <w:highlight w:val="none"/>
              </w:rPr>
            </w:pPr>
            <w:r>
              <w:rPr>
                <w:rFonts w:hint="eastAsia" w:ascii="宋体" w:hAnsi="宋体" w:cs="宋体"/>
                <w:color w:val="auto"/>
                <w:highlight w:val="none"/>
              </w:rPr>
              <w:t>注：评标委员会认为供应商的报价明显低于其他通过符合性审查供应商的报价，有可能影响产品质量或者不能诚信履约的，应当要求其在现场合理的时间内提供书面说明，必要时提交相关证明材料；供应商不能证明其报价合理性的，评标委员会应当将其作为无效响应处理。</w:t>
            </w:r>
          </w:p>
        </w:tc>
      </w:tr>
      <w:tr w14:paraId="49AC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920" w:type="dxa"/>
            <w:vAlign w:val="center"/>
          </w:tcPr>
          <w:p w14:paraId="0588CFB3">
            <w:pPr>
              <w:pStyle w:val="88"/>
              <w:spacing w:line="360" w:lineRule="auto"/>
              <w:jc w:val="center"/>
              <w:rPr>
                <w:rFonts w:ascii="宋体" w:hAnsi="宋体" w:cs="宋体"/>
                <w:bCs/>
                <w:color w:val="auto"/>
                <w:highlight w:val="none"/>
              </w:rPr>
            </w:pPr>
            <w:r>
              <w:rPr>
                <w:rFonts w:hint="eastAsia" w:ascii="宋体" w:hAnsi="宋体" w:cs="宋体"/>
                <w:bCs/>
                <w:color w:val="auto"/>
                <w:highlight w:val="none"/>
              </w:rPr>
              <w:t>服务方案</w:t>
            </w:r>
          </w:p>
          <w:p w14:paraId="54955FAE">
            <w:pPr>
              <w:pStyle w:val="88"/>
              <w:jc w:val="center"/>
              <w:rPr>
                <w:rFonts w:ascii="宋体" w:hAnsi="宋体" w:cs="宋体"/>
                <w:color w:val="auto"/>
                <w:highlight w:val="none"/>
              </w:rPr>
            </w:pPr>
            <w:r>
              <w:rPr>
                <w:rFonts w:hint="eastAsia" w:ascii="宋体" w:hAnsi="宋体" w:cs="宋体"/>
                <w:color w:val="auto"/>
                <w:highlight w:val="none"/>
              </w:rPr>
              <w:t>（35分）</w:t>
            </w:r>
          </w:p>
        </w:tc>
        <w:tc>
          <w:tcPr>
            <w:tcW w:w="7748" w:type="dxa"/>
            <w:vAlign w:val="center"/>
          </w:tcPr>
          <w:p w14:paraId="0ABAEB5B">
            <w:pPr>
              <w:pStyle w:val="88"/>
              <w:rPr>
                <w:rFonts w:ascii="宋体" w:hAnsi="宋体" w:cs="宋体"/>
                <w:color w:val="auto"/>
                <w:highlight w:val="none"/>
              </w:rPr>
            </w:pPr>
            <w:r>
              <w:rPr>
                <w:rFonts w:hint="eastAsia" w:ascii="宋体" w:hAnsi="宋体" w:cs="宋体"/>
                <w:color w:val="auto"/>
                <w:highlight w:val="none"/>
              </w:rPr>
              <w:t>1、整体服务设想和总体目标：考察供应商对服务项目现状的熟悉程度，是否了解投标项目的重点难点，针对重点难点的措施是否切实合理，服务目标是否满足谈判采购文件要求等（5分）</w:t>
            </w:r>
          </w:p>
          <w:p w14:paraId="16408774">
            <w:pPr>
              <w:pStyle w:val="88"/>
              <w:rPr>
                <w:rFonts w:ascii="宋体" w:hAnsi="宋体" w:cs="宋体"/>
                <w:color w:val="auto"/>
                <w:highlight w:val="none"/>
              </w:rPr>
            </w:pPr>
            <w:r>
              <w:rPr>
                <w:rFonts w:hint="eastAsia" w:ascii="宋体" w:hAnsi="宋体" w:cs="宋体"/>
                <w:color w:val="auto"/>
                <w:highlight w:val="none"/>
              </w:rPr>
              <w:t>对服务项目基本情况熟悉，了解采购人的服务需求，重点难点分析正确，针对重点难点的措施切实可行得5分；</w:t>
            </w:r>
          </w:p>
          <w:p w14:paraId="3D892B2B">
            <w:pPr>
              <w:pStyle w:val="88"/>
              <w:rPr>
                <w:rFonts w:ascii="宋体" w:hAnsi="宋体" w:cs="宋体"/>
                <w:color w:val="auto"/>
                <w:highlight w:val="none"/>
              </w:rPr>
            </w:pPr>
            <w:r>
              <w:rPr>
                <w:rFonts w:hint="eastAsia" w:ascii="宋体" w:hAnsi="宋体" w:cs="宋体"/>
                <w:color w:val="auto"/>
                <w:highlight w:val="none"/>
              </w:rPr>
              <w:t>对服务项目基本情况熟悉度一般，基本了解采购人的服务需求，重点难点分析基本正确，针对重点难点的措施基本可操作得3分；</w:t>
            </w:r>
          </w:p>
          <w:p w14:paraId="21C266DC">
            <w:pPr>
              <w:pStyle w:val="88"/>
              <w:rPr>
                <w:rFonts w:ascii="宋体" w:hAnsi="宋体" w:cs="宋体"/>
                <w:color w:val="auto"/>
                <w:highlight w:val="none"/>
              </w:rPr>
            </w:pPr>
            <w:r>
              <w:rPr>
                <w:rFonts w:hint="eastAsia" w:ascii="宋体" w:hAnsi="宋体" w:cs="宋体"/>
                <w:color w:val="auto"/>
                <w:highlight w:val="none"/>
              </w:rPr>
              <w:t>对服务项目基本情况不熟悉，对采购人的服务需求了解度一般，重点难点分析不符合实际，针对重点难点的措施可操作差得1分。</w:t>
            </w:r>
          </w:p>
          <w:p w14:paraId="0CF3C8D4">
            <w:pPr>
              <w:pStyle w:val="88"/>
              <w:rPr>
                <w:rFonts w:ascii="宋体" w:hAnsi="宋体" w:cs="宋体"/>
                <w:color w:val="auto"/>
                <w:highlight w:val="none"/>
              </w:rPr>
            </w:pPr>
            <w:r>
              <w:rPr>
                <w:rFonts w:hint="eastAsia" w:ascii="宋体" w:hAnsi="宋体" w:cs="宋体"/>
                <w:color w:val="auto"/>
                <w:highlight w:val="none"/>
              </w:rPr>
              <w:t>未提供不得分。</w:t>
            </w:r>
          </w:p>
          <w:p w14:paraId="09C34779">
            <w:pPr>
              <w:pStyle w:val="88"/>
              <w:rPr>
                <w:rFonts w:ascii="宋体" w:hAnsi="宋体" w:cs="宋体"/>
                <w:color w:val="auto"/>
                <w:highlight w:val="none"/>
              </w:rPr>
            </w:pPr>
            <w:r>
              <w:rPr>
                <w:rFonts w:hint="eastAsia" w:ascii="宋体" w:hAnsi="宋体" w:cs="宋体"/>
                <w:color w:val="auto"/>
                <w:highlight w:val="none"/>
              </w:rPr>
              <w:t>2、机构设立、运作流程、工具的配备（5分）</w:t>
            </w:r>
          </w:p>
          <w:p w14:paraId="77D7F898">
            <w:pPr>
              <w:pStyle w:val="88"/>
              <w:rPr>
                <w:rFonts w:ascii="宋体" w:hAnsi="宋体" w:cs="宋体"/>
                <w:color w:val="auto"/>
                <w:highlight w:val="none"/>
              </w:rPr>
            </w:pPr>
            <w:r>
              <w:rPr>
                <w:rFonts w:hint="eastAsia" w:ascii="宋体" w:hAnsi="宋体" w:cs="宋体"/>
                <w:color w:val="auto"/>
                <w:highlight w:val="none"/>
              </w:rPr>
              <w:t>机构设立健全，运作流程合理专业，工具配备完全符合或优于项目需要得5分；</w:t>
            </w:r>
          </w:p>
          <w:p w14:paraId="1969A050">
            <w:pPr>
              <w:pStyle w:val="88"/>
              <w:rPr>
                <w:rFonts w:ascii="宋体" w:hAnsi="宋体" w:cs="宋体"/>
                <w:color w:val="auto"/>
                <w:highlight w:val="none"/>
              </w:rPr>
            </w:pPr>
            <w:r>
              <w:rPr>
                <w:rFonts w:hint="eastAsia" w:ascii="宋体" w:hAnsi="宋体" w:cs="宋体"/>
                <w:color w:val="auto"/>
                <w:highlight w:val="none"/>
              </w:rPr>
              <w:t>机构设立较完整，运作流程基本合理，工具配备基本符合项目需要得3分；</w:t>
            </w:r>
          </w:p>
          <w:p w14:paraId="6F1C16CF">
            <w:pPr>
              <w:pStyle w:val="88"/>
              <w:rPr>
                <w:rFonts w:ascii="宋体" w:hAnsi="宋体" w:cs="宋体"/>
                <w:color w:val="auto"/>
                <w:highlight w:val="none"/>
              </w:rPr>
            </w:pPr>
            <w:r>
              <w:rPr>
                <w:rFonts w:hint="eastAsia" w:ascii="宋体" w:hAnsi="宋体" w:cs="宋体"/>
                <w:color w:val="auto"/>
                <w:highlight w:val="none"/>
              </w:rPr>
              <w:t>机构设立一般，运作流程一般，工具配备不合理得1分。</w:t>
            </w:r>
          </w:p>
          <w:p w14:paraId="6FC50238">
            <w:pPr>
              <w:pStyle w:val="88"/>
              <w:rPr>
                <w:rFonts w:ascii="宋体" w:hAnsi="宋体" w:cs="宋体"/>
                <w:color w:val="auto"/>
                <w:highlight w:val="none"/>
              </w:rPr>
            </w:pPr>
            <w:r>
              <w:rPr>
                <w:rFonts w:hint="eastAsia" w:ascii="宋体" w:hAnsi="宋体" w:cs="宋体"/>
                <w:color w:val="auto"/>
                <w:highlight w:val="none"/>
              </w:rPr>
              <w:t>未提供不得分。</w:t>
            </w:r>
          </w:p>
          <w:p w14:paraId="1093B55C">
            <w:pPr>
              <w:pStyle w:val="88"/>
              <w:rPr>
                <w:rFonts w:ascii="宋体" w:hAnsi="宋体" w:cs="宋体"/>
                <w:color w:val="auto"/>
                <w:highlight w:val="none"/>
              </w:rPr>
            </w:pPr>
            <w:r>
              <w:rPr>
                <w:rFonts w:hint="eastAsia" w:ascii="宋体" w:hAnsi="宋体" w:cs="宋体"/>
                <w:color w:val="auto"/>
                <w:highlight w:val="none"/>
              </w:rPr>
              <w:t>3、安保服务管理方案（8分）</w:t>
            </w:r>
          </w:p>
          <w:p w14:paraId="69FAE629">
            <w:pPr>
              <w:pStyle w:val="88"/>
              <w:rPr>
                <w:rFonts w:ascii="宋体" w:hAnsi="宋体" w:cs="宋体"/>
                <w:color w:val="auto"/>
                <w:highlight w:val="none"/>
              </w:rPr>
            </w:pPr>
            <w:r>
              <w:rPr>
                <w:rFonts w:hint="eastAsia" w:ascii="宋体" w:hAnsi="宋体" w:cs="宋体"/>
                <w:color w:val="auto"/>
                <w:highlight w:val="none"/>
              </w:rPr>
              <w:t>方案完整、细致，符合或优于项目需求，操作性强得8分；</w:t>
            </w:r>
          </w:p>
          <w:p w14:paraId="1CC317F7">
            <w:pPr>
              <w:pStyle w:val="88"/>
              <w:rPr>
                <w:rFonts w:ascii="宋体" w:hAnsi="宋体" w:cs="宋体"/>
                <w:color w:val="auto"/>
                <w:highlight w:val="none"/>
              </w:rPr>
            </w:pPr>
            <w:r>
              <w:rPr>
                <w:rFonts w:hint="eastAsia" w:ascii="宋体" w:hAnsi="宋体" w:cs="宋体"/>
                <w:color w:val="auto"/>
                <w:highlight w:val="none"/>
              </w:rPr>
              <w:t>方案较为完整、细致，基本符合项目需求，操作性较强得6分；</w:t>
            </w:r>
          </w:p>
          <w:p w14:paraId="7F447791">
            <w:pPr>
              <w:pStyle w:val="89"/>
              <w:spacing w:line="240" w:lineRule="auto"/>
              <w:ind w:firstLine="0"/>
              <w:rPr>
                <w:color w:val="auto"/>
                <w:highlight w:val="none"/>
              </w:rPr>
            </w:pPr>
            <w:r>
              <w:rPr>
                <w:rFonts w:hint="eastAsia" w:ascii="宋体" w:hAnsi="宋体" w:cs="宋体"/>
                <w:color w:val="auto"/>
                <w:sz w:val="21"/>
                <w:highlight w:val="none"/>
              </w:rPr>
              <w:t>方案完整度一般，基本符合项目需求，但操作性不强得3分；</w:t>
            </w:r>
          </w:p>
          <w:p w14:paraId="1A55A4EF">
            <w:pPr>
              <w:pStyle w:val="88"/>
              <w:rPr>
                <w:rFonts w:ascii="宋体" w:hAnsi="宋体" w:cs="宋体"/>
                <w:color w:val="auto"/>
                <w:highlight w:val="none"/>
              </w:rPr>
            </w:pPr>
            <w:r>
              <w:rPr>
                <w:rFonts w:hint="eastAsia" w:ascii="宋体" w:hAnsi="宋体" w:cs="宋体"/>
                <w:color w:val="auto"/>
                <w:highlight w:val="none"/>
              </w:rPr>
              <w:t>方案不完整、不细致，与项目需求响应度低，操作性差得1分。</w:t>
            </w:r>
          </w:p>
          <w:p w14:paraId="3AB069ED">
            <w:pPr>
              <w:pStyle w:val="88"/>
              <w:rPr>
                <w:rFonts w:ascii="宋体" w:hAnsi="宋体" w:cs="宋体"/>
                <w:color w:val="auto"/>
                <w:highlight w:val="none"/>
              </w:rPr>
            </w:pPr>
            <w:r>
              <w:rPr>
                <w:rFonts w:hint="eastAsia" w:ascii="宋体" w:hAnsi="宋体" w:cs="宋体"/>
                <w:color w:val="auto"/>
                <w:highlight w:val="none"/>
              </w:rPr>
              <w:t>未提供不得分。</w:t>
            </w:r>
          </w:p>
          <w:p w14:paraId="1D7A2B81">
            <w:pPr>
              <w:pStyle w:val="88"/>
              <w:rPr>
                <w:rFonts w:ascii="宋体" w:hAnsi="宋体" w:cs="宋体"/>
                <w:color w:val="auto"/>
                <w:highlight w:val="none"/>
              </w:rPr>
            </w:pPr>
            <w:r>
              <w:rPr>
                <w:rFonts w:hint="eastAsia" w:ascii="宋体" w:hAnsi="宋体" w:cs="宋体"/>
                <w:color w:val="auto"/>
                <w:highlight w:val="none"/>
              </w:rPr>
              <w:t>4、各项应急预案（包括但不限于处理突发事件的方案、迎接重大活动应急预案、消防应急演练方案等）（5分）</w:t>
            </w:r>
          </w:p>
          <w:p w14:paraId="1C154826">
            <w:pPr>
              <w:pStyle w:val="88"/>
              <w:rPr>
                <w:rFonts w:ascii="宋体" w:hAnsi="宋体" w:cs="宋体"/>
                <w:color w:val="auto"/>
                <w:highlight w:val="none"/>
              </w:rPr>
            </w:pPr>
            <w:r>
              <w:rPr>
                <w:rFonts w:hint="eastAsia" w:ascii="宋体" w:hAnsi="宋体" w:cs="宋体"/>
                <w:color w:val="auto"/>
                <w:highlight w:val="none"/>
              </w:rPr>
              <w:t>有应急响应优势，有应急组织及指导书，各类重大活动、突发事件应急预案健全且符合或优于项目需求得5分；</w:t>
            </w:r>
          </w:p>
          <w:p w14:paraId="6C866E6B">
            <w:pPr>
              <w:pStyle w:val="88"/>
              <w:rPr>
                <w:rFonts w:ascii="宋体" w:hAnsi="宋体" w:cs="宋体"/>
                <w:color w:val="auto"/>
                <w:highlight w:val="none"/>
              </w:rPr>
            </w:pPr>
            <w:r>
              <w:rPr>
                <w:rFonts w:hint="eastAsia" w:ascii="宋体" w:hAnsi="宋体" w:cs="宋体"/>
                <w:color w:val="auto"/>
                <w:highlight w:val="none"/>
              </w:rPr>
              <w:t>应急响应优势不明显，应急组织及指导书基本健全，各类重大活动、突发事件应急预案基本健全且基本符合项目需求得3分；</w:t>
            </w:r>
          </w:p>
          <w:p w14:paraId="47772CF2">
            <w:pPr>
              <w:pStyle w:val="88"/>
              <w:rPr>
                <w:rFonts w:ascii="宋体" w:hAnsi="宋体" w:cs="宋体"/>
                <w:color w:val="auto"/>
                <w:highlight w:val="none"/>
              </w:rPr>
            </w:pPr>
            <w:r>
              <w:rPr>
                <w:rFonts w:hint="eastAsia" w:ascii="宋体" w:hAnsi="宋体" w:cs="宋体"/>
                <w:color w:val="auto"/>
                <w:highlight w:val="none"/>
              </w:rPr>
              <w:t>无应急响应优势，应急组织及指导书不健全，各类重大活动、突发事件应急预案不健全得1分。</w:t>
            </w:r>
          </w:p>
          <w:p w14:paraId="46B61EE3">
            <w:pPr>
              <w:pStyle w:val="88"/>
              <w:rPr>
                <w:rFonts w:ascii="宋体" w:hAnsi="宋体" w:cs="宋体"/>
                <w:color w:val="auto"/>
                <w:highlight w:val="none"/>
              </w:rPr>
            </w:pPr>
            <w:r>
              <w:rPr>
                <w:rFonts w:hint="eastAsia" w:ascii="宋体" w:hAnsi="宋体" w:cs="宋体"/>
                <w:color w:val="auto"/>
                <w:highlight w:val="none"/>
              </w:rPr>
              <w:t>未提供不得分。</w:t>
            </w:r>
          </w:p>
          <w:p w14:paraId="0D4BF838">
            <w:pPr>
              <w:pStyle w:val="88"/>
              <w:rPr>
                <w:rFonts w:ascii="宋体" w:hAnsi="宋体" w:cs="宋体"/>
                <w:color w:val="auto"/>
                <w:highlight w:val="none"/>
              </w:rPr>
            </w:pPr>
            <w:r>
              <w:rPr>
                <w:rFonts w:hint="eastAsia" w:ascii="宋体" w:hAnsi="宋体" w:cs="宋体"/>
                <w:color w:val="auto"/>
                <w:highlight w:val="none"/>
              </w:rPr>
              <w:t>5、项目内部管理制度（包括但不限于人员培训方案、值班制度、保密制度等）（5分）</w:t>
            </w:r>
          </w:p>
          <w:p w14:paraId="7192DA67">
            <w:pPr>
              <w:pStyle w:val="88"/>
              <w:rPr>
                <w:rFonts w:ascii="宋体" w:hAnsi="宋体" w:cs="宋体"/>
                <w:color w:val="auto"/>
                <w:highlight w:val="none"/>
              </w:rPr>
            </w:pPr>
            <w:r>
              <w:rPr>
                <w:rFonts w:hint="eastAsia" w:ascii="宋体" w:hAnsi="宋体" w:cs="宋体"/>
                <w:color w:val="auto"/>
                <w:highlight w:val="none"/>
              </w:rPr>
              <w:t>规章制度健全且管理措施操作性强的得5分，</w:t>
            </w:r>
          </w:p>
          <w:p w14:paraId="296C1528">
            <w:pPr>
              <w:pStyle w:val="88"/>
              <w:rPr>
                <w:rFonts w:ascii="宋体" w:hAnsi="宋体" w:cs="宋体"/>
                <w:color w:val="auto"/>
                <w:highlight w:val="none"/>
              </w:rPr>
            </w:pPr>
            <w:r>
              <w:rPr>
                <w:rFonts w:hint="eastAsia" w:ascii="宋体" w:hAnsi="宋体" w:cs="宋体"/>
                <w:color w:val="auto"/>
                <w:highlight w:val="none"/>
              </w:rPr>
              <w:t>规章制度基本健全，管理措施基本可操作的得3分；</w:t>
            </w:r>
          </w:p>
          <w:p w14:paraId="14466346">
            <w:pPr>
              <w:pStyle w:val="88"/>
              <w:rPr>
                <w:rFonts w:ascii="宋体" w:hAnsi="宋体" w:cs="宋体"/>
                <w:color w:val="auto"/>
                <w:highlight w:val="none"/>
              </w:rPr>
            </w:pPr>
            <w:r>
              <w:rPr>
                <w:rFonts w:hint="eastAsia" w:ascii="宋体" w:hAnsi="宋体" w:cs="宋体"/>
                <w:color w:val="auto"/>
                <w:highlight w:val="none"/>
              </w:rPr>
              <w:t>规章制度不健全，管理措施操作性差的得1分。</w:t>
            </w:r>
          </w:p>
          <w:p w14:paraId="7281F4B7">
            <w:pPr>
              <w:pStyle w:val="88"/>
              <w:rPr>
                <w:rFonts w:ascii="宋体" w:hAnsi="宋体" w:cs="宋体"/>
                <w:color w:val="auto"/>
                <w:highlight w:val="none"/>
              </w:rPr>
            </w:pPr>
            <w:r>
              <w:rPr>
                <w:rFonts w:hint="eastAsia" w:ascii="宋体" w:hAnsi="宋体" w:cs="宋体"/>
                <w:color w:val="auto"/>
                <w:highlight w:val="none"/>
              </w:rPr>
              <w:t>未提供不得分。</w:t>
            </w:r>
          </w:p>
          <w:p w14:paraId="27EB5797">
            <w:pPr>
              <w:pStyle w:val="88"/>
              <w:rPr>
                <w:rFonts w:ascii="宋体" w:hAnsi="宋体" w:cs="宋体"/>
                <w:color w:val="auto"/>
                <w:highlight w:val="none"/>
              </w:rPr>
            </w:pPr>
            <w:r>
              <w:rPr>
                <w:rFonts w:hint="eastAsia" w:ascii="宋体" w:hAnsi="宋体" w:cs="宋体"/>
                <w:color w:val="auto"/>
                <w:highlight w:val="none"/>
              </w:rPr>
              <w:t>6、安全事故处理措施（包括但不限于意外伤害赔偿、工伤赔偿、风险规避措施）（7分）</w:t>
            </w:r>
          </w:p>
          <w:p w14:paraId="5AAF239A">
            <w:pPr>
              <w:pStyle w:val="88"/>
              <w:rPr>
                <w:rFonts w:ascii="宋体" w:hAnsi="宋体" w:cs="宋体"/>
                <w:color w:val="auto"/>
                <w:highlight w:val="none"/>
              </w:rPr>
            </w:pPr>
            <w:r>
              <w:rPr>
                <w:rFonts w:hint="eastAsia" w:ascii="宋体" w:hAnsi="宋体" w:cs="宋体"/>
                <w:color w:val="auto"/>
                <w:highlight w:val="none"/>
              </w:rPr>
              <w:t>针对性强，细致全面、合理、完全响应需求，可行性强得7分；</w:t>
            </w:r>
          </w:p>
          <w:p w14:paraId="3E0DF87A">
            <w:pPr>
              <w:pStyle w:val="88"/>
              <w:rPr>
                <w:rFonts w:ascii="宋体" w:hAnsi="宋体" w:cs="宋体"/>
                <w:color w:val="auto"/>
                <w:highlight w:val="none"/>
              </w:rPr>
            </w:pPr>
            <w:r>
              <w:rPr>
                <w:rFonts w:hint="eastAsia" w:ascii="宋体" w:hAnsi="宋体" w:cs="宋体"/>
                <w:color w:val="auto"/>
                <w:highlight w:val="none"/>
              </w:rPr>
              <w:t>较为完整、基本响应需求的得5分；</w:t>
            </w:r>
          </w:p>
          <w:p w14:paraId="554E95FA">
            <w:pPr>
              <w:pStyle w:val="89"/>
              <w:spacing w:line="240" w:lineRule="auto"/>
              <w:ind w:firstLine="0"/>
              <w:rPr>
                <w:color w:val="auto"/>
                <w:highlight w:val="none"/>
              </w:rPr>
            </w:pPr>
            <w:r>
              <w:rPr>
                <w:rFonts w:hint="eastAsia" w:ascii="宋体" w:hAnsi="宋体" w:cs="宋体"/>
                <w:color w:val="auto"/>
                <w:sz w:val="21"/>
                <w:highlight w:val="none"/>
              </w:rPr>
              <w:t>完整度一般、响应度一般的得3分；</w:t>
            </w:r>
          </w:p>
          <w:p w14:paraId="4FA1338F">
            <w:pPr>
              <w:pStyle w:val="88"/>
              <w:rPr>
                <w:rFonts w:ascii="宋体" w:hAnsi="宋体" w:cs="宋体"/>
                <w:color w:val="auto"/>
                <w:highlight w:val="none"/>
              </w:rPr>
            </w:pPr>
            <w:r>
              <w:rPr>
                <w:rFonts w:hint="eastAsia" w:ascii="宋体" w:hAnsi="宋体" w:cs="宋体"/>
                <w:color w:val="auto"/>
                <w:highlight w:val="none"/>
              </w:rPr>
              <w:t>不完整、响应度低、技术可行性较低的得1分。</w:t>
            </w:r>
          </w:p>
          <w:p w14:paraId="4D387FB8">
            <w:pPr>
              <w:pStyle w:val="88"/>
              <w:rPr>
                <w:rFonts w:ascii="宋体" w:hAnsi="宋体" w:cs="宋体"/>
                <w:color w:val="auto"/>
                <w:highlight w:val="none"/>
              </w:rPr>
            </w:pPr>
            <w:r>
              <w:rPr>
                <w:rFonts w:hint="eastAsia" w:ascii="宋体" w:hAnsi="宋体" w:cs="宋体"/>
                <w:color w:val="auto"/>
                <w:highlight w:val="none"/>
              </w:rPr>
              <w:t>未提供不得分。</w:t>
            </w:r>
          </w:p>
        </w:tc>
      </w:tr>
      <w:tr w14:paraId="455D4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920" w:type="dxa"/>
            <w:vAlign w:val="center"/>
          </w:tcPr>
          <w:p w14:paraId="46FC3722">
            <w:pPr>
              <w:pStyle w:val="88"/>
              <w:spacing w:line="360" w:lineRule="auto"/>
              <w:jc w:val="center"/>
              <w:rPr>
                <w:rFonts w:ascii="宋体" w:hAnsi="宋体" w:cs="宋体"/>
                <w:bCs/>
                <w:color w:val="auto"/>
                <w:highlight w:val="none"/>
              </w:rPr>
            </w:pPr>
            <w:r>
              <w:rPr>
                <w:rFonts w:hint="eastAsia" w:ascii="宋体" w:hAnsi="宋体" w:cs="宋体"/>
                <w:bCs/>
                <w:color w:val="auto"/>
                <w:highlight w:val="none"/>
              </w:rPr>
              <w:t>拟投入项目人员</w:t>
            </w:r>
          </w:p>
          <w:p w14:paraId="3C36D400">
            <w:pPr>
              <w:pStyle w:val="88"/>
              <w:jc w:val="center"/>
              <w:rPr>
                <w:rFonts w:ascii="宋体" w:hAnsi="宋体" w:cs="宋体"/>
                <w:color w:val="auto"/>
                <w:highlight w:val="none"/>
              </w:rPr>
            </w:pPr>
            <w:r>
              <w:rPr>
                <w:rFonts w:hint="eastAsia" w:ascii="宋体" w:hAnsi="宋体" w:cs="宋体"/>
                <w:color w:val="auto"/>
                <w:highlight w:val="none"/>
              </w:rPr>
              <w:t>（17分）</w:t>
            </w:r>
          </w:p>
        </w:tc>
        <w:tc>
          <w:tcPr>
            <w:tcW w:w="7748" w:type="dxa"/>
            <w:vAlign w:val="center"/>
          </w:tcPr>
          <w:p w14:paraId="08789D38">
            <w:pPr>
              <w:pStyle w:val="88"/>
              <w:numPr>
                <w:ilvl w:val="0"/>
                <w:numId w:val="5"/>
              </w:numPr>
              <w:rPr>
                <w:color w:val="auto"/>
                <w:highlight w:val="none"/>
              </w:rPr>
            </w:pPr>
            <w:r>
              <w:rPr>
                <w:rFonts w:hint="eastAsia" w:ascii="宋体" w:hAnsi="宋体" w:cs="宋体"/>
                <w:color w:val="auto"/>
                <w:highlight w:val="none"/>
              </w:rPr>
              <w:t>保安队长资质及从业经验</w:t>
            </w:r>
          </w:p>
          <w:p w14:paraId="68955836">
            <w:pPr>
              <w:pStyle w:val="88"/>
              <w:rPr>
                <w:rFonts w:ascii="宋体" w:hAnsi="宋体" w:cs="宋体"/>
                <w:color w:val="auto"/>
                <w:highlight w:val="none"/>
              </w:rPr>
            </w:pPr>
            <w:r>
              <w:rPr>
                <w:rFonts w:hint="eastAsia" w:ascii="宋体" w:hAnsi="宋体" w:cs="宋体"/>
                <w:color w:val="auto"/>
                <w:highlight w:val="none"/>
              </w:rPr>
              <w:t>（1）保安队长具备高级（三级）及以上保安员证书得5分，具备高级（三级）以下保安员证书的得3分；</w:t>
            </w:r>
          </w:p>
          <w:p w14:paraId="033186F0">
            <w:pPr>
              <w:pStyle w:val="88"/>
              <w:rPr>
                <w:rFonts w:ascii="宋体" w:hAnsi="宋体" w:cs="宋体"/>
                <w:color w:val="auto"/>
                <w:highlight w:val="none"/>
              </w:rPr>
            </w:pPr>
            <w:r>
              <w:rPr>
                <w:rFonts w:hint="eastAsia" w:ascii="宋体" w:hAnsi="宋体" w:cs="宋体"/>
                <w:color w:val="auto"/>
                <w:highlight w:val="none"/>
              </w:rPr>
              <w:t>（2）年龄50（含）周岁以下的得3分，50（不含）-55（含）周岁的得1分，55周岁以上不得分；</w:t>
            </w:r>
          </w:p>
          <w:p w14:paraId="49996C4B">
            <w:pPr>
              <w:pStyle w:val="88"/>
              <w:rPr>
                <w:rFonts w:ascii="宋体" w:hAnsi="宋体" w:cs="宋体"/>
                <w:bCs/>
                <w:color w:val="auto"/>
                <w:highlight w:val="none"/>
              </w:rPr>
            </w:pPr>
            <w:r>
              <w:rPr>
                <w:rFonts w:hint="eastAsia" w:ascii="宋体" w:hAnsi="宋体" w:cs="宋体"/>
                <w:bCs/>
                <w:color w:val="auto"/>
                <w:highlight w:val="none"/>
                <w:lang w:val="zh-CN"/>
              </w:rPr>
              <w:t>（提供相关证书及证明材料复印件并加盖供应商公章及供应商近一年内任一个月为其缴纳的</w:t>
            </w:r>
            <w:r>
              <w:rPr>
                <w:rFonts w:hint="eastAsia" w:ascii="宋体" w:hAnsi="宋体" w:cs="宋体"/>
                <w:bCs/>
                <w:color w:val="auto"/>
                <w:highlight w:val="none"/>
              </w:rPr>
              <w:t>任意一个月的</w:t>
            </w:r>
            <w:r>
              <w:rPr>
                <w:rFonts w:hint="eastAsia" w:ascii="宋体" w:hAnsi="宋体" w:cs="宋体"/>
                <w:bCs/>
                <w:color w:val="auto"/>
                <w:highlight w:val="none"/>
                <w:lang w:val="zh-CN"/>
              </w:rPr>
              <w:t>社保证明，原件现场核查）</w:t>
            </w:r>
          </w:p>
          <w:p w14:paraId="1FD34EE0">
            <w:pPr>
              <w:pStyle w:val="88"/>
              <w:rPr>
                <w:rFonts w:ascii="宋体" w:hAnsi="宋体" w:cs="宋体"/>
                <w:color w:val="auto"/>
                <w:highlight w:val="none"/>
              </w:rPr>
            </w:pPr>
            <w:r>
              <w:rPr>
                <w:rFonts w:hint="eastAsia" w:ascii="宋体" w:hAnsi="宋体" w:cs="宋体"/>
                <w:color w:val="auto"/>
                <w:highlight w:val="none"/>
              </w:rPr>
              <w:t>2、合理配备保安人员（除保安队长外）</w:t>
            </w:r>
          </w:p>
          <w:p w14:paraId="224E5F8D">
            <w:pPr>
              <w:pStyle w:val="88"/>
              <w:rPr>
                <w:rFonts w:ascii="宋体" w:hAnsi="宋体" w:cs="宋体"/>
                <w:color w:val="auto"/>
                <w:highlight w:val="none"/>
              </w:rPr>
            </w:pPr>
            <w:r>
              <w:rPr>
                <w:rFonts w:hint="eastAsia" w:ascii="宋体" w:hAnsi="宋体" w:cs="宋体"/>
                <w:color w:val="auto"/>
                <w:highlight w:val="none"/>
              </w:rPr>
              <w:t>保安</w:t>
            </w:r>
            <w:r>
              <w:rPr>
                <w:rFonts w:hint="eastAsia" w:ascii="宋体" w:hAnsi="宋体" w:cs="宋体"/>
                <w:color w:val="auto"/>
                <w:highlight w:val="none"/>
                <w:lang w:val="zh-CN" w:bidi="zh-CN"/>
              </w:rPr>
              <w:t>队员：</w:t>
            </w:r>
            <w:r>
              <w:rPr>
                <w:rFonts w:hint="eastAsia" w:ascii="宋体" w:hAnsi="宋体" w:cs="宋体"/>
                <w:color w:val="auto"/>
                <w:highlight w:val="none"/>
              </w:rPr>
              <w:t>年龄50周岁及以下的，每个得3分，50（不含）-55（含）周岁的得1分，55周岁以上不得分，总分9分。（</w:t>
            </w:r>
            <w:r>
              <w:rPr>
                <w:rFonts w:hint="eastAsia" w:ascii="宋体" w:hAnsi="宋体" w:cs="宋体"/>
                <w:bCs/>
                <w:color w:val="auto"/>
                <w:highlight w:val="none"/>
                <w:lang w:val="zh-CN"/>
              </w:rPr>
              <w:t>提供相关证明材料，复印件并加盖供应商公章</w:t>
            </w:r>
            <w:r>
              <w:rPr>
                <w:rFonts w:hint="eastAsia" w:ascii="宋体" w:hAnsi="宋体" w:cs="宋体"/>
                <w:color w:val="auto"/>
                <w:highlight w:val="none"/>
              </w:rPr>
              <w:t>）</w:t>
            </w:r>
          </w:p>
        </w:tc>
      </w:tr>
      <w:tr w14:paraId="5A453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jc w:val="center"/>
        </w:trPr>
        <w:tc>
          <w:tcPr>
            <w:tcW w:w="1920" w:type="dxa"/>
            <w:vAlign w:val="center"/>
          </w:tcPr>
          <w:p w14:paraId="6090879E">
            <w:pPr>
              <w:pStyle w:val="88"/>
              <w:jc w:val="center"/>
              <w:rPr>
                <w:rFonts w:ascii="宋体" w:hAnsi="宋体" w:cs="宋体"/>
                <w:color w:val="auto"/>
                <w:highlight w:val="none"/>
              </w:rPr>
            </w:pPr>
            <w:r>
              <w:rPr>
                <w:rFonts w:hint="eastAsia" w:ascii="宋体" w:hAnsi="宋体" w:cs="宋体"/>
                <w:color w:val="auto"/>
                <w:highlight w:val="none"/>
              </w:rPr>
              <w:t>综合实力</w:t>
            </w:r>
          </w:p>
          <w:p w14:paraId="738A1729">
            <w:pPr>
              <w:pStyle w:val="88"/>
              <w:jc w:val="center"/>
              <w:rPr>
                <w:rFonts w:ascii="宋体" w:hAnsi="宋体" w:cs="宋体"/>
                <w:color w:val="auto"/>
                <w:highlight w:val="none"/>
              </w:rPr>
            </w:pPr>
            <w:r>
              <w:rPr>
                <w:rFonts w:hint="eastAsia" w:ascii="宋体" w:hAnsi="宋体" w:cs="宋体"/>
                <w:color w:val="auto"/>
                <w:highlight w:val="none"/>
              </w:rPr>
              <w:t>（3分）</w:t>
            </w:r>
          </w:p>
        </w:tc>
        <w:tc>
          <w:tcPr>
            <w:tcW w:w="7748" w:type="dxa"/>
            <w:vAlign w:val="center"/>
          </w:tcPr>
          <w:p w14:paraId="004D6FCE">
            <w:pPr>
              <w:pStyle w:val="88"/>
              <w:rPr>
                <w:rFonts w:ascii="宋体" w:hAnsi="宋体" w:cs="宋体"/>
                <w:color w:val="auto"/>
                <w:highlight w:val="none"/>
              </w:rPr>
            </w:pPr>
            <w:r>
              <w:rPr>
                <w:rFonts w:hint="eastAsia" w:ascii="宋体" w:hAnsi="宋体" w:cs="宋体"/>
                <w:color w:val="auto"/>
                <w:highlight w:val="none"/>
              </w:rPr>
              <w:t>1、供应商具有有效期内的质量管理体系认证证书、环境管理体系认证证书、职业健康安全管理体系认证证书，有一个得1分，满分3分。（提供证书复印件并加盖公章）</w:t>
            </w:r>
          </w:p>
        </w:tc>
      </w:tr>
      <w:tr w14:paraId="1FE79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jc w:val="center"/>
        </w:trPr>
        <w:tc>
          <w:tcPr>
            <w:tcW w:w="1920" w:type="dxa"/>
            <w:vAlign w:val="center"/>
          </w:tcPr>
          <w:p w14:paraId="521F7E5A">
            <w:pPr>
              <w:pStyle w:val="88"/>
              <w:jc w:val="center"/>
              <w:rPr>
                <w:rFonts w:ascii="宋体" w:hAnsi="宋体" w:cs="宋体"/>
                <w:color w:val="auto"/>
                <w:highlight w:val="none"/>
              </w:rPr>
            </w:pPr>
            <w:r>
              <w:rPr>
                <w:rFonts w:hint="eastAsia" w:ascii="宋体" w:hAnsi="宋体" w:cs="宋体"/>
                <w:color w:val="auto"/>
                <w:highlight w:val="none"/>
              </w:rPr>
              <w:t>业绩</w:t>
            </w:r>
          </w:p>
          <w:p w14:paraId="7D72DE47">
            <w:pPr>
              <w:pStyle w:val="88"/>
              <w:jc w:val="center"/>
              <w:rPr>
                <w:rFonts w:ascii="宋体" w:hAnsi="宋体" w:cs="宋体"/>
                <w:color w:val="auto"/>
                <w:highlight w:val="none"/>
              </w:rPr>
            </w:pPr>
            <w:r>
              <w:rPr>
                <w:rFonts w:hint="eastAsia" w:ascii="宋体" w:hAnsi="宋体" w:cs="宋体"/>
                <w:color w:val="auto"/>
                <w:highlight w:val="none"/>
              </w:rPr>
              <w:t>（25分）</w:t>
            </w:r>
          </w:p>
        </w:tc>
        <w:tc>
          <w:tcPr>
            <w:tcW w:w="7748" w:type="dxa"/>
            <w:vAlign w:val="center"/>
          </w:tcPr>
          <w:p w14:paraId="5F7A7D56">
            <w:pPr>
              <w:pStyle w:val="92"/>
              <w:numPr>
                <w:ilvl w:val="0"/>
                <w:numId w:val="0"/>
              </w:numPr>
              <w:rPr>
                <w:rFonts w:ascii="宋体" w:hAnsi="宋体" w:cs="宋体"/>
                <w:color w:val="auto"/>
                <w:highlight w:val="none"/>
              </w:rPr>
            </w:pPr>
            <w:r>
              <w:rPr>
                <w:rFonts w:hint="eastAsia" w:ascii="宋体" w:hAnsi="宋体" w:cs="宋体"/>
                <w:color w:val="auto"/>
                <w:highlight w:val="none"/>
              </w:rPr>
              <w:t>供应商2022年1月1日以来承担过类似业绩的，有一个业绩得5分，满分25分。</w:t>
            </w:r>
            <w:r>
              <w:rPr>
                <w:rFonts w:hint="eastAsia" w:ascii="宋体" w:hAnsi="宋体" w:cs="宋体"/>
                <w:bCs/>
                <w:color w:val="auto"/>
                <w:highlight w:val="none"/>
              </w:rPr>
              <w:t>（</w:t>
            </w:r>
            <w:r>
              <w:rPr>
                <w:rFonts w:hint="eastAsia" w:ascii="宋体" w:hAnsi="宋体" w:cs="宋体"/>
                <w:color w:val="auto"/>
                <w:highlight w:val="none"/>
              </w:rPr>
              <w:t>供应商</w:t>
            </w:r>
            <w:r>
              <w:rPr>
                <w:rFonts w:hint="eastAsia" w:ascii="宋体" w:hAnsi="宋体" w:cs="宋体"/>
                <w:bCs/>
                <w:color w:val="auto"/>
                <w:highlight w:val="none"/>
                <w:lang w:val="zh-CN"/>
              </w:rPr>
              <w:t>须</w:t>
            </w:r>
            <w:r>
              <w:rPr>
                <w:rFonts w:hint="eastAsia" w:ascii="宋体" w:hAnsi="宋体" w:cs="宋体"/>
                <w:bCs/>
                <w:color w:val="auto"/>
                <w:highlight w:val="none"/>
              </w:rPr>
              <w:t>提供合同复印件加盖公章）</w:t>
            </w:r>
          </w:p>
        </w:tc>
      </w:tr>
    </w:tbl>
    <w:p w14:paraId="5ECB5F16">
      <w:pPr>
        <w:pStyle w:val="2"/>
        <w:ind w:firstLine="0" w:firstLineChars="0"/>
        <w:rPr>
          <w:color w:val="auto"/>
          <w:highlight w:val="none"/>
        </w:rPr>
      </w:pPr>
    </w:p>
    <w:p w14:paraId="46DE642D">
      <w:pPr>
        <w:pStyle w:val="3"/>
        <w:rPr>
          <w:color w:val="auto"/>
          <w:highlight w:val="none"/>
        </w:rPr>
      </w:pPr>
    </w:p>
    <w:p w14:paraId="1BB62BA9">
      <w:pPr>
        <w:pStyle w:val="3"/>
        <w:rPr>
          <w:color w:val="auto"/>
          <w:highlight w:val="none"/>
        </w:rPr>
      </w:pPr>
    </w:p>
    <w:p w14:paraId="7E3133B2">
      <w:pPr>
        <w:pStyle w:val="3"/>
        <w:rPr>
          <w:color w:val="auto"/>
          <w:highlight w:val="none"/>
        </w:rPr>
      </w:pPr>
    </w:p>
    <w:p w14:paraId="7DF0FDBA">
      <w:pPr>
        <w:tabs>
          <w:tab w:val="left" w:pos="3629"/>
        </w:tabs>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三、评审委员会启动异常低价投标（响应）审查的情形和具体要求，包括：</w:t>
      </w:r>
    </w:p>
    <w:p w14:paraId="2566BB45">
      <w:pPr>
        <w:tabs>
          <w:tab w:val="left" w:pos="3629"/>
        </w:tabs>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（一）评标过程中出现下列情形之一的，评标委员会应当启动异常低价投标审查程序:</w:t>
      </w:r>
    </w:p>
    <w:p w14:paraId="5A1BF3C3">
      <w:pPr>
        <w:tabs>
          <w:tab w:val="left" w:pos="3629"/>
        </w:tabs>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1.投标(响应)报价低于全部通过符合性审查供应商投标(响应)报价平均值50%的，即投标(响应)报价〈全部通过符合性审查供应商投标(响应)报价平均值X50%;</w:t>
      </w:r>
    </w:p>
    <w:p w14:paraId="70B92746">
      <w:pPr>
        <w:tabs>
          <w:tab w:val="left" w:pos="3629"/>
        </w:tabs>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2.投标(响应)报价低于通过符合性审查的次低报价供应商投标(响应)报价50%的，即投标(响应)报价〈通过符合性审查的次低报价供应商投标(响应)报价X50%;</w:t>
      </w:r>
    </w:p>
    <w:p w14:paraId="333B45B4">
      <w:pPr>
        <w:tabs>
          <w:tab w:val="left" w:pos="3629"/>
        </w:tabs>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3.投标(响应)报价低于采购项目最高限价45%的，即投标(响应)报价&lt;采购项目最高限价X45%;</w:t>
      </w:r>
    </w:p>
    <w:p w14:paraId="3BCBF89A">
      <w:pPr>
        <w:tabs>
          <w:tab w:val="left" w:pos="3629"/>
        </w:tabs>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4.评审委员会基于专业判断，认为供应商报价过低，有可能影响产品质量或者不能诚信履约的其他情形。</w:t>
      </w:r>
    </w:p>
    <w:p w14:paraId="18D1DFAB">
      <w:pPr>
        <w:tabs>
          <w:tab w:val="left" w:pos="3629"/>
        </w:tabs>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不少于30分钟。其中，属于第3项情形，供应商已随投标(响应)文件一并提交相关书面说明及必要的证明材料的，在评审现场可不再重复提交。</w:t>
      </w:r>
    </w:p>
    <w:p w14:paraId="32C4235E">
      <w:pPr>
        <w:tabs>
          <w:tab w:val="left" w:pos="3629"/>
        </w:tabs>
        <w:spacing w:line="360" w:lineRule="auto"/>
        <w:jc w:val="left"/>
        <w:rPr>
          <w:color w:val="auto"/>
          <w:highlight w:val="none"/>
        </w:rPr>
        <w:sectPr>
          <w:headerReference r:id="rId9" w:type="default"/>
          <w:footerReference r:id="rId10" w:type="default"/>
          <w:pgSz w:w="11906" w:h="16838"/>
          <w:pgMar w:top="1440" w:right="1800" w:bottom="1440" w:left="1800" w:header="851" w:footer="992" w:gutter="0"/>
          <w:cols w:space="720" w:num="1"/>
          <w:docGrid w:type="lines" w:linePitch="312" w:charSpace="0"/>
        </w:sectPr>
      </w:pPr>
      <w:r>
        <w:rPr>
          <w:rFonts w:hint="eastAsia" w:ascii="宋体" w:hAnsi="宋体" w:cs="宋体"/>
          <w:b/>
          <w:color w:val="auto"/>
          <w:szCs w:val="21"/>
          <w:highlight w:val="none"/>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2EF9D6D">
      <w:pPr>
        <w:pStyle w:val="4"/>
        <w:rPr>
          <w:color w:val="auto"/>
          <w:sz w:val="36"/>
          <w:highlight w:val="none"/>
        </w:rPr>
      </w:pPr>
    </w:p>
    <w:p w14:paraId="07562E31">
      <w:pPr>
        <w:pStyle w:val="4"/>
        <w:jc w:val="center"/>
        <w:rPr>
          <w:color w:val="auto"/>
          <w:sz w:val="36"/>
          <w:highlight w:val="none"/>
        </w:rPr>
      </w:pPr>
      <w:bookmarkStart w:id="129" w:name="_Toc1384"/>
      <w:r>
        <w:rPr>
          <w:rFonts w:hint="eastAsia"/>
          <w:color w:val="auto"/>
          <w:sz w:val="36"/>
          <w:highlight w:val="none"/>
        </w:rPr>
        <w:t>第六章 谈判采购响应文件格式</w:t>
      </w:r>
      <w:bookmarkEnd w:id="127"/>
      <w:bookmarkEnd w:id="128"/>
      <w:bookmarkEnd w:id="129"/>
    </w:p>
    <w:p w14:paraId="4F0E625D">
      <w:pPr>
        <w:jc w:val="center"/>
        <w:rPr>
          <w:b/>
          <w:color w:val="auto"/>
          <w:sz w:val="36"/>
          <w:highlight w:val="none"/>
        </w:rPr>
      </w:pPr>
    </w:p>
    <w:p w14:paraId="28B5A378">
      <w:pPr>
        <w:jc w:val="center"/>
        <w:rPr>
          <w:b/>
          <w:color w:val="auto"/>
          <w:sz w:val="22"/>
          <w:szCs w:val="21"/>
          <w:highlight w:val="none"/>
        </w:rPr>
      </w:pPr>
    </w:p>
    <w:p w14:paraId="61042E25">
      <w:pPr>
        <w:jc w:val="center"/>
        <w:rPr>
          <w:b/>
          <w:color w:val="auto"/>
          <w:sz w:val="72"/>
          <w:highlight w:val="none"/>
        </w:rPr>
      </w:pPr>
      <w:bookmarkStart w:id="130" w:name="OLE_LINK141"/>
      <w:bookmarkEnd w:id="130"/>
      <w:bookmarkStart w:id="131" w:name="OLE_LINK137"/>
      <w:bookmarkEnd w:id="131"/>
    </w:p>
    <w:p w14:paraId="4805E6C8">
      <w:pPr>
        <w:pStyle w:val="5"/>
        <w:spacing w:line="480" w:lineRule="auto"/>
        <w:rPr>
          <w:rFonts w:ascii="Times New Roman" w:hAnsi="Times New Roman" w:eastAsia="宋体" w:cs="Arial"/>
          <w:bCs w:val="0"/>
          <w:color w:val="auto"/>
          <w:highlight w:val="none"/>
        </w:rPr>
      </w:pPr>
      <w:bookmarkStart w:id="132" w:name="OLE_LINK144"/>
      <w:bookmarkEnd w:id="132"/>
      <w:bookmarkStart w:id="133" w:name="_Toc26703"/>
      <w:bookmarkStart w:id="134" w:name="_Toc27961"/>
      <w:bookmarkStart w:id="135" w:name="_Toc497145845"/>
      <w:r>
        <w:rPr>
          <w:rFonts w:hint="eastAsia" w:ascii="Times New Roman" w:hAnsi="Times New Roman" w:eastAsia="宋体" w:cs="Arial"/>
          <w:bCs w:val="0"/>
          <w:color w:val="auto"/>
          <w:highlight w:val="none"/>
        </w:rPr>
        <w:t>谈判采购响应文件</w:t>
      </w:r>
      <w:bookmarkEnd w:id="133"/>
      <w:bookmarkEnd w:id="134"/>
      <w:bookmarkEnd w:id="135"/>
    </w:p>
    <w:p w14:paraId="262A7E96">
      <w:pPr>
        <w:pStyle w:val="7"/>
        <w:jc w:val="center"/>
        <w:rPr>
          <w:b/>
          <w:bCs/>
          <w:color w:val="auto"/>
          <w:sz w:val="44"/>
          <w:szCs w:val="44"/>
          <w:highlight w:val="none"/>
        </w:rPr>
      </w:pPr>
      <w:r>
        <w:rPr>
          <w:rFonts w:hint="eastAsia" w:cs="Arial"/>
          <w:b/>
          <w:bCs/>
          <w:color w:val="auto"/>
          <w:sz w:val="44"/>
          <w:szCs w:val="44"/>
          <w:highlight w:val="none"/>
        </w:rPr>
        <w:t>（正或副本）</w:t>
      </w:r>
    </w:p>
    <w:p w14:paraId="0A631568">
      <w:pPr>
        <w:jc w:val="center"/>
        <w:rPr>
          <w:b/>
          <w:color w:val="auto"/>
          <w:sz w:val="36"/>
          <w:highlight w:val="none"/>
        </w:rPr>
      </w:pPr>
    </w:p>
    <w:p w14:paraId="4FDA52AA">
      <w:pPr>
        <w:jc w:val="center"/>
        <w:rPr>
          <w:b/>
          <w:color w:val="auto"/>
          <w:sz w:val="36"/>
          <w:highlight w:val="none"/>
        </w:rPr>
      </w:pPr>
    </w:p>
    <w:p w14:paraId="63C6E1A6">
      <w:pPr>
        <w:ind w:left="838" w:leftChars="399"/>
        <w:rPr>
          <w:b/>
          <w:color w:val="auto"/>
          <w:sz w:val="28"/>
          <w:szCs w:val="20"/>
          <w:highlight w:val="none"/>
          <w:u w:val="single"/>
        </w:rPr>
      </w:pPr>
      <w:r>
        <w:rPr>
          <w:rFonts w:hint="eastAsia"/>
          <w:b/>
          <w:color w:val="auto"/>
          <w:sz w:val="28"/>
          <w:szCs w:val="20"/>
          <w:highlight w:val="none"/>
        </w:rPr>
        <w:t>项 目 名 称：</w:t>
      </w:r>
      <w:r>
        <w:rPr>
          <w:rFonts w:hint="eastAsia"/>
          <w:color w:val="auto"/>
          <w:sz w:val="28"/>
          <w:szCs w:val="28"/>
          <w:highlight w:val="none"/>
        </w:rPr>
        <w:t>扬州市翠岗中学校园门卫保安服务项目</w:t>
      </w:r>
    </w:p>
    <w:p w14:paraId="4A1DE173">
      <w:pPr>
        <w:ind w:firstLine="843" w:firstLineChars="300"/>
        <w:rPr>
          <w:b/>
          <w:color w:val="auto"/>
          <w:sz w:val="28"/>
          <w:szCs w:val="20"/>
          <w:highlight w:val="none"/>
          <w:u w:val="single"/>
        </w:rPr>
      </w:pPr>
      <w:r>
        <w:rPr>
          <w:rFonts w:hint="eastAsia"/>
          <w:b/>
          <w:color w:val="auto"/>
          <w:sz w:val="28"/>
          <w:szCs w:val="20"/>
          <w:highlight w:val="none"/>
        </w:rPr>
        <w:t>项 目 编 号：</w:t>
      </w:r>
      <w:r>
        <w:rPr>
          <w:rFonts w:hint="eastAsia"/>
          <w:color w:val="auto"/>
          <w:sz w:val="28"/>
          <w:szCs w:val="28"/>
          <w:highlight w:val="none"/>
        </w:rPr>
        <w:t>CGZX-20260301号</w:t>
      </w:r>
    </w:p>
    <w:p w14:paraId="34959D39">
      <w:pPr>
        <w:rPr>
          <w:b/>
          <w:color w:val="auto"/>
          <w:sz w:val="28"/>
          <w:szCs w:val="20"/>
          <w:highlight w:val="none"/>
          <w:u w:val="single"/>
        </w:rPr>
      </w:pPr>
      <w:r>
        <w:rPr>
          <w:rFonts w:hint="eastAsia"/>
          <w:b/>
          <w:color w:val="auto"/>
          <w:sz w:val="28"/>
          <w:szCs w:val="20"/>
          <w:highlight w:val="none"/>
        </w:rPr>
        <w:t xml:space="preserve">      谈判供应商名称 ：</w:t>
      </w:r>
    </w:p>
    <w:p w14:paraId="61C090EE">
      <w:pPr>
        <w:rPr>
          <w:b/>
          <w:color w:val="auto"/>
          <w:sz w:val="28"/>
          <w:szCs w:val="20"/>
          <w:highlight w:val="none"/>
        </w:rPr>
      </w:pPr>
      <w:r>
        <w:rPr>
          <w:rFonts w:hint="eastAsia"/>
          <w:b/>
          <w:color w:val="auto"/>
          <w:sz w:val="28"/>
          <w:szCs w:val="20"/>
          <w:highlight w:val="none"/>
        </w:rPr>
        <w:t xml:space="preserve">      日      期 ：</w:t>
      </w:r>
    </w:p>
    <w:p w14:paraId="3D4E874C">
      <w:pPr>
        <w:autoSpaceDE w:val="0"/>
        <w:autoSpaceDN w:val="0"/>
        <w:spacing w:line="360" w:lineRule="auto"/>
        <w:rPr>
          <w:b/>
          <w:bCs/>
          <w:color w:val="auto"/>
          <w:sz w:val="28"/>
          <w:szCs w:val="28"/>
          <w:highlight w:val="none"/>
        </w:rPr>
      </w:pPr>
      <w:r>
        <w:rPr>
          <w:rFonts w:hint="eastAsia" w:cs="宋体"/>
          <w:b/>
          <w:bCs/>
          <w:color w:val="auto"/>
          <w:sz w:val="28"/>
          <w:szCs w:val="28"/>
          <w:highlight w:val="none"/>
          <w:lang w:val="zh-CN"/>
        </w:rPr>
        <w:t>说明：</w:t>
      </w:r>
    </w:p>
    <w:p w14:paraId="0B30548D">
      <w:pPr>
        <w:autoSpaceDE w:val="0"/>
        <w:autoSpaceDN w:val="0"/>
        <w:spacing w:line="360" w:lineRule="auto"/>
        <w:ind w:firstLine="618" w:firstLineChars="220"/>
        <w:rPr>
          <w:b/>
          <w:bCs/>
          <w:color w:val="auto"/>
          <w:sz w:val="28"/>
          <w:szCs w:val="28"/>
          <w:highlight w:val="none"/>
        </w:rPr>
      </w:pPr>
      <w:r>
        <w:rPr>
          <w:rFonts w:hint="eastAsia" w:cs="宋体"/>
          <w:b/>
          <w:bCs/>
          <w:color w:val="auto"/>
          <w:sz w:val="28"/>
          <w:szCs w:val="28"/>
          <w:highlight w:val="none"/>
          <w:lang w:val="zh-CN"/>
        </w:rPr>
        <w:t>对本章所有的响应文件格式 ，供应商可根据自身情况进行补充和修改，但补充和修改不得造成与本格式内容有实质性的违背。</w:t>
      </w:r>
    </w:p>
    <w:p w14:paraId="249431D3">
      <w:pPr>
        <w:spacing w:before="312" w:after="312"/>
        <w:jc w:val="center"/>
        <w:rPr>
          <w:b/>
          <w:color w:val="auto"/>
          <w:szCs w:val="21"/>
          <w:highlight w:val="none"/>
        </w:rPr>
      </w:pPr>
      <w:r>
        <w:rPr>
          <w:rFonts w:hint="eastAsia"/>
          <w:color w:val="auto"/>
          <w:sz w:val="24"/>
          <w:highlight w:val="none"/>
        </w:rPr>
        <w:br w:type="page"/>
      </w:r>
      <w:r>
        <w:rPr>
          <w:rFonts w:hint="eastAsia"/>
          <w:b/>
          <w:color w:val="auto"/>
          <w:szCs w:val="21"/>
          <w:highlight w:val="none"/>
        </w:rPr>
        <w:t>评分索引表</w:t>
      </w:r>
    </w:p>
    <w:tbl>
      <w:tblPr>
        <w:tblStyle w:val="26"/>
        <w:tblW w:w="91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0"/>
        <w:gridCol w:w="3460"/>
      </w:tblGrid>
      <w:tr w14:paraId="2A9B0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14:paraId="5F7B392E">
            <w:pPr>
              <w:pStyle w:val="47"/>
              <w:shd w:val="clear" w:color="auto" w:fill="FFFFFF"/>
              <w:spacing w:after="0" w:line="265" w:lineRule="atLeast"/>
              <w:ind w:left="420"/>
              <w:jc w:val="center"/>
              <w:rPr>
                <w:rFonts w:ascii="Times New Roman" w:hAnsi="Times New Roman"/>
                <w:b/>
                <w:bCs/>
                <w:color w:val="auto"/>
                <w:sz w:val="21"/>
                <w:szCs w:val="21"/>
                <w:highlight w:val="none"/>
                <w:lang w:eastAsia="zh-CN"/>
              </w:rPr>
            </w:pPr>
            <w:r>
              <w:rPr>
                <w:rFonts w:hint="eastAsia" w:ascii="Times New Roman" w:hAnsi="Times New Roman"/>
                <w:b/>
                <w:color w:val="auto"/>
                <w:sz w:val="21"/>
                <w:szCs w:val="21"/>
                <w:highlight w:val="none"/>
              </w:rPr>
              <w:t>评分项目</w:t>
            </w:r>
          </w:p>
        </w:tc>
        <w:tc>
          <w:tcPr>
            <w:tcW w:w="3460" w:type="dxa"/>
            <w:tcBorders>
              <w:top w:val="single" w:color="auto" w:sz="4" w:space="0"/>
              <w:left w:val="single" w:color="auto" w:sz="4" w:space="0"/>
              <w:bottom w:val="single" w:color="auto" w:sz="4" w:space="0"/>
              <w:right w:val="single" w:color="auto" w:sz="4" w:space="0"/>
            </w:tcBorders>
          </w:tcPr>
          <w:p w14:paraId="7DE0175D">
            <w:pPr>
              <w:spacing w:after="200" w:line="220" w:lineRule="atLeast"/>
              <w:jc w:val="center"/>
              <w:rPr>
                <w:b/>
                <w:color w:val="auto"/>
                <w:szCs w:val="21"/>
                <w:highlight w:val="none"/>
              </w:rPr>
            </w:pPr>
            <w:r>
              <w:rPr>
                <w:rFonts w:hint="eastAsia"/>
                <w:b/>
                <w:color w:val="auto"/>
                <w:kern w:val="0"/>
                <w:szCs w:val="21"/>
                <w:highlight w:val="none"/>
                <w:lang w:bidi="en-US"/>
              </w:rPr>
              <w:t>在响应文件中的页码位置</w:t>
            </w:r>
          </w:p>
        </w:tc>
      </w:tr>
      <w:tr w14:paraId="2E3D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tcPr>
          <w:p w14:paraId="26129C98">
            <w:pPr>
              <w:pStyle w:val="47"/>
              <w:shd w:val="clear" w:color="auto" w:fill="FFFFFF"/>
              <w:spacing w:after="0" w:line="265" w:lineRule="atLeast"/>
              <w:ind w:left="420"/>
              <w:jc w:val="both"/>
              <w:rPr>
                <w:rFonts w:ascii="Times New Roman" w:hAnsi="Times New Roman"/>
                <w:b/>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4AA97986">
            <w:pPr>
              <w:spacing w:after="200" w:line="220" w:lineRule="atLeast"/>
              <w:rPr>
                <w:b/>
                <w:color w:val="auto"/>
                <w:sz w:val="24"/>
                <w:highlight w:val="none"/>
                <w:lang w:bidi="en-US"/>
              </w:rPr>
            </w:pPr>
          </w:p>
        </w:tc>
      </w:tr>
      <w:tr w14:paraId="30E2D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9130" w:type="dxa"/>
            <w:gridSpan w:val="2"/>
            <w:tcBorders>
              <w:top w:val="single" w:color="auto" w:sz="4" w:space="0"/>
              <w:left w:val="single" w:color="auto" w:sz="4" w:space="0"/>
              <w:bottom w:val="single" w:color="auto" w:sz="4" w:space="0"/>
              <w:right w:val="single" w:color="auto" w:sz="4" w:space="0"/>
            </w:tcBorders>
          </w:tcPr>
          <w:p w14:paraId="7A505AE6">
            <w:pPr>
              <w:pStyle w:val="47"/>
              <w:shd w:val="clear" w:color="auto" w:fill="FFFFFF"/>
              <w:spacing w:after="0" w:line="265" w:lineRule="atLeast"/>
              <w:ind w:left="420"/>
              <w:jc w:val="both"/>
              <w:rPr>
                <w:rFonts w:ascii="Times New Roman" w:hAnsi="Times New Roman"/>
                <w:color w:val="auto"/>
                <w:highlight w:val="none"/>
                <w:lang w:eastAsia="zh-CN"/>
              </w:rPr>
            </w:pPr>
          </w:p>
        </w:tc>
      </w:tr>
      <w:tr w14:paraId="5E671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14:paraId="6F155CC2">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5415483D">
            <w:pPr>
              <w:spacing w:after="200" w:line="220" w:lineRule="atLeast"/>
              <w:rPr>
                <w:color w:val="auto"/>
                <w:highlight w:val="none"/>
              </w:rPr>
            </w:pPr>
          </w:p>
        </w:tc>
      </w:tr>
      <w:tr w14:paraId="712F8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14:paraId="47175023">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6F561D3A">
            <w:pPr>
              <w:spacing w:after="200" w:line="220" w:lineRule="atLeast"/>
              <w:rPr>
                <w:color w:val="auto"/>
                <w:highlight w:val="none"/>
              </w:rPr>
            </w:pPr>
          </w:p>
        </w:tc>
      </w:tr>
      <w:tr w14:paraId="5E05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14:paraId="26D78E73">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3634F46A">
            <w:pPr>
              <w:spacing w:after="200" w:line="220" w:lineRule="atLeast"/>
              <w:rPr>
                <w:color w:val="auto"/>
                <w:highlight w:val="none"/>
              </w:rPr>
            </w:pPr>
          </w:p>
        </w:tc>
      </w:tr>
      <w:tr w14:paraId="3458B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tcPr>
          <w:p w14:paraId="5FB64DFB">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70FA4FA0">
            <w:pPr>
              <w:spacing w:after="200" w:line="220" w:lineRule="atLeast"/>
              <w:rPr>
                <w:color w:val="auto"/>
                <w:highlight w:val="none"/>
              </w:rPr>
            </w:pPr>
          </w:p>
        </w:tc>
      </w:tr>
      <w:tr w14:paraId="3C2E7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14:paraId="525153CA">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41C94314">
            <w:pPr>
              <w:spacing w:after="200" w:line="220" w:lineRule="atLeast"/>
              <w:rPr>
                <w:color w:val="auto"/>
                <w:highlight w:val="none"/>
              </w:rPr>
            </w:pPr>
          </w:p>
        </w:tc>
      </w:tr>
      <w:tr w14:paraId="00419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130" w:type="dxa"/>
            <w:gridSpan w:val="2"/>
            <w:tcBorders>
              <w:top w:val="single" w:color="auto" w:sz="4" w:space="0"/>
              <w:left w:val="single" w:color="auto" w:sz="4" w:space="0"/>
              <w:bottom w:val="single" w:color="auto" w:sz="4" w:space="0"/>
              <w:right w:val="single" w:color="auto" w:sz="4" w:space="0"/>
            </w:tcBorders>
          </w:tcPr>
          <w:p w14:paraId="4A959DD9">
            <w:pPr>
              <w:pStyle w:val="47"/>
              <w:shd w:val="clear" w:color="auto" w:fill="FFFFFF"/>
              <w:spacing w:after="0" w:line="265" w:lineRule="atLeast"/>
              <w:ind w:left="420"/>
              <w:jc w:val="both"/>
              <w:rPr>
                <w:rFonts w:ascii="Times New Roman" w:hAnsi="Times New Roman"/>
                <w:color w:val="auto"/>
                <w:highlight w:val="none"/>
                <w:lang w:eastAsia="zh-CN"/>
              </w:rPr>
            </w:pPr>
          </w:p>
        </w:tc>
      </w:tr>
      <w:tr w14:paraId="5634C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tcPr>
          <w:p w14:paraId="22C41209">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4FABC701">
            <w:pPr>
              <w:spacing w:after="200" w:line="220" w:lineRule="atLeast"/>
              <w:rPr>
                <w:color w:val="auto"/>
                <w:highlight w:val="none"/>
              </w:rPr>
            </w:pPr>
          </w:p>
        </w:tc>
      </w:tr>
      <w:tr w14:paraId="0ED15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tcPr>
          <w:p w14:paraId="541C017B">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48B809F7">
            <w:pPr>
              <w:spacing w:after="200" w:line="220" w:lineRule="atLeast"/>
              <w:rPr>
                <w:color w:val="auto"/>
                <w:highlight w:val="none"/>
              </w:rPr>
            </w:pPr>
          </w:p>
        </w:tc>
      </w:tr>
      <w:tr w14:paraId="04A98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tcPr>
          <w:p w14:paraId="36543A68">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08EBD6F5">
            <w:pPr>
              <w:spacing w:after="200" w:line="220" w:lineRule="atLeast"/>
              <w:rPr>
                <w:color w:val="auto"/>
                <w:highlight w:val="none"/>
              </w:rPr>
            </w:pPr>
          </w:p>
        </w:tc>
      </w:tr>
      <w:tr w14:paraId="5FEF8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tcPr>
          <w:p w14:paraId="2BA10706">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5316A208">
            <w:pPr>
              <w:spacing w:after="200" w:line="220" w:lineRule="atLeast"/>
              <w:rPr>
                <w:color w:val="auto"/>
                <w:highlight w:val="none"/>
              </w:rPr>
            </w:pPr>
          </w:p>
        </w:tc>
      </w:tr>
      <w:tr w14:paraId="6822B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tcPr>
          <w:p w14:paraId="3845D60C">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4DC04D39">
            <w:pPr>
              <w:spacing w:after="200" w:line="220" w:lineRule="atLeast"/>
              <w:rPr>
                <w:color w:val="auto"/>
                <w:highlight w:val="none"/>
              </w:rPr>
            </w:pPr>
          </w:p>
        </w:tc>
      </w:tr>
      <w:tr w14:paraId="71105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9130" w:type="dxa"/>
            <w:gridSpan w:val="2"/>
            <w:tcBorders>
              <w:top w:val="single" w:color="auto" w:sz="4" w:space="0"/>
              <w:left w:val="single" w:color="auto" w:sz="4" w:space="0"/>
              <w:bottom w:val="single" w:color="auto" w:sz="4" w:space="0"/>
              <w:right w:val="single" w:color="auto" w:sz="4" w:space="0"/>
            </w:tcBorders>
          </w:tcPr>
          <w:p w14:paraId="361AB599">
            <w:pPr>
              <w:pStyle w:val="47"/>
              <w:shd w:val="clear" w:color="auto" w:fill="FFFFFF"/>
              <w:spacing w:after="0" w:line="265" w:lineRule="atLeast"/>
              <w:ind w:left="420"/>
              <w:jc w:val="both"/>
              <w:rPr>
                <w:rFonts w:ascii="Times New Roman" w:hAnsi="Times New Roman"/>
                <w:b/>
                <w:color w:val="auto"/>
                <w:highlight w:val="none"/>
                <w:lang w:eastAsia="zh-CN"/>
              </w:rPr>
            </w:pPr>
          </w:p>
        </w:tc>
      </w:tr>
      <w:tr w14:paraId="67D89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14:paraId="2329BBDE">
            <w:pPr>
              <w:pStyle w:val="47"/>
              <w:shd w:val="clear" w:color="auto" w:fill="FFFFFF"/>
              <w:spacing w:after="0" w:line="265" w:lineRule="atLeast"/>
              <w:ind w:left="420"/>
              <w:rPr>
                <w:rFonts w:ascii="Times New Roman" w:hAnsi="Times New Roman"/>
                <w:b/>
                <w:bCs/>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26F61044">
            <w:pPr>
              <w:spacing w:after="200" w:line="220" w:lineRule="atLeast"/>
              <w:rPr>
                <w:color w:val="auto"/>
                <w:highlight w:val="none"/>
              </w:rPr>
            </w:pPr>
          </w:p>
        </w:tc>
      </w:tr>
      <w:tr w14:paraId="55AAC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tcPr>
          <w:p w14:paraId="4B7E3306">
            <w:pPr>
              <w:pStyle w:val="47"/>
              <w:shd w:val="clear" w:color="auto" w:fill="FFFFFF"/>
              <w:spacing w:after="0" w:line="265" w:lineRule="atLeast"/>
              <w:ind w:left="42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28D3CADE">
            <w:pPr>
              <w:spacing w:after="200" w:line="220" w:lineRule="atLeast"/>
              <w:rPr>
                <w:color w:val="auto"/>
                <w:highlight w:val="none"/>
              </w:rPr>
            </w:pPr>
          </w:p>
        </w:tc>
      </w:tr>
      <w:tr w14:paraId="417A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tcPr>
          <w:p w14:paraId="64D6BD6A">
            <w:pPr>
              <w:pStyle w:val="47"/>
              <w:shd w:val="clear" w:color="auto" w:fill="FFFFFF"/>
              <w:spacing w:after="0" w:line="265" w:lineRule="atLeast"/>
              <w:ind w:left="420"/>
              <w:rPr>
                <w:rFonts w:ascii="Times New Roman" w:hAnsi="Times New Roman"/>
                <w:b/>
                <w:bCs/>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40BCCCFB">
            <w:pPr>
              <w:spacing w:after="200" w:line="220" w:lineRule="atLeast"/>
              <w:rPr>
                <w:color w:val="auto"/>
                <w:highlight w:val="none"/>
              </w:rPr>
            </w:pPr>
          </w:p>
        </w:tc>
      </w:tr>
      <w:tr w14:paraId="35BEF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9130" w:type="dxa"/>
            <w:gridSpan w:val="2"/>
            <w:tcBorders>
              <w:top w:val="single" w:color="auto" w:sz="4" w:space="0"/>
              <w:left w:val="single" w:color="auto" w:sz="4" w:space="0"/>
              <w:bottom w:val="single" w:color="auto" w:sz="4" w:space="0"/>
              <w:right w:val="single" w:color="auto" w:sz="4" w:space="0"/>
            </w:tcBorders>
          </w:tcPr>
          <w:p w14:paraId="6558A487">
            <w:pPr>
              <w:pStyle w:val="47"/>
              <w:shd w:val="clear" w:color="auto" w:fill="FFFFFF"/>
              <w:spacing w:after="0" w:line="265" w:lineRule="atLeast"/>
              <w:ind w:left="420"/>
              <w:jc w:val="both"/>
              <w:rPr>
                <w:rFonts w:ascii="Times New Roman" w:hAnsi="Times New Roman"/>
                <w:b/>
                <w:color w:val="auto"/>
                <w:highlight w:val="none"/>
                <w:lang w:eastAsia="zh-CN"/>
              </w:rPr>
            </w:pPr>
          </w:p>
        </w:tc>
      </w:tr>
      <w:tr w14:paraId="4CD65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tcPr>
          <w:p w14:paraId="10B2AEDE">
            <w:pPr>
              <w:pStyle w:val="47"/>
              <w:shd w:val="clear" w:color="auto" w:fill="FFFFFF"/>
              <w:spacing w:after="0" w:line="265" w:lineRule="atLeast"/>
              <w:ind w:left="0" w:firstLine="480" w:firstLineChars="200"/>
              <w:rPr>
                <w:rFonts w:ascii="Times New Roman" w:hAnsi="Times New Roman"/>
                <w:color w:val="auto"/>
                <w:szCs w:val="21"/>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6CEC3A48">
            <w:pPr>
              <w:spacing w:after="200" w:line="220" w:lineRule="atLeast"/>
              <w:rPr>
                <w:color w:val="auto"/>
                <w:highlight w:val="none"/>
              </w:rPr>
            </w:pPr>
          </w:p>
        </w:tc>
      </w:tr>
      <w:tr w14:paraId="61F4A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tcPr>
          <w:p w14:paraId="320A9E65">
            <w:pPr>
              <w:pStyle w:val="47"/>
              <w:shd w:val="clear" w:color="auto" w:fill="FFFFFF"/>
              <w:spacing w:after="0" w:line="265" w:lineRule="atLeast"/>
              <w:ind w:left="0" w:firstLine="480" w:firstLineChars="200"/>
              <w:rPr>
                <w:rFonts w:ascii="Times New Roman" w:hAnsi="Times New Roman"/>
                <w:color w:val="auto"/>
                <w:highlight w:val="none"/>
                <w:lang w:eastAsia="zh-CN"/>
              </w:rPr>
            </w:pPr>
          </w:p>
        </w:tc>
        <w:tc>
          <w:tcPr>
            <w:tcW w:w="3460" w:type="dxa"/>
            <w:tcBorders>
              <w:top w:val="single" w:color="auto" w:sz="4" w:space="0"/>
              <w:left w:val="single" w:color="auto" w:sz="4" w:space="0"/>
              <w:bottom w:val="single" w:color="auto" w:sz="4" w:space="0"/>
              <w:right w:val="single" w:color="auto" w:sz="4" w:space="0"/>
            </w:tcBorders>
          </w:tcPr>
          <w:p w14:paraId="54DAD65F">
            <w:pPr>
              <w:spacing w:after="200" w:line="220" w:lineRule="atLeast"/>
              <w:rPr>
                <w:color w:val="auto"/>
                <w:highlight w:val="none"/>
              </w:rPr>
            </w:pPr>
          </w:p>
        </w:tc>
      </w:tr>
    </w:tbl>
    <w:p w14:paraId="1E41316A">
      <w:pPr>
        <w:rPr>
          <w:color w:val="auto"/>
          <w:highlight w:val="none"/>
        </w:rPr>
      </w:pPr>
    </w:p>
    <w:p w14:paraId="16583412">
      <w:pPr>
        <w:spacing w:after="312" w:line="360" w:lineRule="auto"/>
        <w:jc w:val="center"/>
        <w:rPr>
          <w:b/>
          <w:bCs/>
          <w:color w:val="auto"/>
          <w:kern w:val="0"/>
          <w:szCs w:val="21"/>
          <w:highlight w:val="none"/>
        </w:rPr>
      </w:pPr>
      <w:r>
        <w:rPr>
          <w:rFonts w:hint="eastAsia"/>
          <w:b/>
          <w:color w:val="auto"/>
          <w:sz w:val="36"/>
          <w:highlight w:val="none"/>
          <w:u w:val="single"/>
        </w:rPr>
        <w:br w:type="page"/>
      </w:r>
      <w:r>
        <w:rPr>
          <w:rFonts w:hint="eastAsia"/>
          <w:b/>
          <w:bCs/>
          <w:color w:val="auto"/>
          <w:szCs w:val="21"/>
          <w:highlight w:val="none"/>
        </w:rPr>
        <w:t>响应文件主要目录</w:t>
      </w:r>
    </w:p>
    <w:p w14:paraId="58F453CD">
      <w:pPr>
        <w:spacing w:line="360" w:lineRule="auto"/>
        <w:ind w:firstLine="420" w:firstLineChars="200"/>
        <w:rPr>
          <w:color w:val="auto"/>
          <w:szCs w:val="21"/>
          <w:highlight w:val="none"/>
        </w:rPr>
      </w:pPr>
      <w:r>
        <w:rPr>
          <w:rFonts w:hint="eastAsia"/>
          <w:color w:val="auto"/>
          <w:szCs w:val="21"/>
          <w:highlight w:val="none"/>
        </w:rPr>
        <w:t>一、资格性和符合性检查响应对照表</w:t>
      </w:r>
    </w:p>
    <w:p w14:paraId="16E43C3C">
      <w:pPr>
        <w:spacing w:line="360" w:lineRule="auto"/>
        <w:ind w:firstLine="420" w:firstLineChars="200"/>
        <w:rPr>
          <w:color w:val="auto"/>
          <w:szCs w:val="21"/>
          <w:highlight w:val="none"/>
        </w:rPr>
      </w:pPr>
      <w:r>
        <w:rPr>
          <w:rFonts w:hint="eastAsia"/>
          <w:color w:val="auto"/>
          <w:szCs w:val="21"/>
          <w:highlight w:val="none"/>
        </w:rPr>
        <w:t>二、资信证明文件</w:t>
      </w:r>
    </w:p>
    <w:p w14:paraId="61070D94">
      <w:pPr>
        <w:spacing w:line="360" w:lineRule="auto"/>
        <w:ind w:firstLine="420" w:firstLineChars="200"/>
        <w:rPr>
          <w:color w:val="auto"/>
          <w:szCs w:val="21"/>
          <w:highlight w:val="none"/>
        </w:rPr>
      </w:pPr>
      <w:r>
        <w:rPr>
          <w:rFonts w:hint="eastAsia"/>
          <w:color w:val="auto"/>
          <w:szCs w:val="21"/>
          <w:highlight w:val="none"/>
        </w:rPr>
        <w:t>三、谈判响应函</w:t>
      </w:r>
    </w:p>
    <w:p w14:paraId="6162F9B1">
      <w:pPr>
        <w:spacing w:line="360" w:lineRule="auto"/>
        <w:ind w:firstLine="420" w:firstLineChars="200"/>
        <w:rPr>
          <w:color w:val="auto"/>
          <w:szCs w:val="21"/>
          <w:highlight w:val="none"/>
        </w:rPr>
      </w:pPr>
      <w:r>
        <w:rPr>
          <w:rFonts w:hint="eastAsia"/>
          <w:color w:val="auto"/>
          <w:szCs w:val="21"/>
          <w:highlight w:val="none"/>
        </w:rPr>
        <w:t>四、谈判响应报价表</w:t>
      </w:r>
    </w:p>
    <w:p w14:paraId="5469831D">
      <w:pPr>
        <w:spacing w:line="360" w:lineRule="auto"/>
        <w:ind w:firstLine="420" w:firstLineChars="200"/>
        <w:rPr>
          <w:color w:val="auto"/>
          <w:szCs w:val="21"/>
          <w:highlight w:val="none"/>
        </w:rPr>
      </w:pPr>
      <w:r>
        <w:rPr>
          <w:rFonts w:hint="eastAsia"/>
          <w:color w:val="auto"/>
          <w:szCs w:val="21"/>
          <w:highlight w:val="none"/>
        </w:rPr>
        <w:t>五、服务响应及偏离表</w:t>
      </w:r>
    </w:p>
    <w:p w14:paraId="64069149">
      <w:pPr>
        <w:spacing w:line="360" w:lineRule="auto"/>
        <w:ind w:firstLine="420" w:firstLineChars="200"/>
        <w:rPr>
          <w:color w:val="auto"/>
          <w:szCs w:val="21"/>
          <w:highlight w:val="none"/>
        </w:rPr>
      </w:pPr>
      <w:r>
        <w:rPr>
          <w:rFonts w:hint="eastAsia"/>
          <w:color w:val="auto"/>
          <w:szCs w:val="21"/>
          <w:highlight w:val="none"/>
        </w:rPr>
        <w:t>六、商务条款响应及偏离表</w:t>
      </w:r>
    </w:p>
    <w:p w14:paraId="13EA6852">
      <w:pPr>
        <w:spacing w:line="360" w:lineRule="auto"/>
        <w:ind w:firstLine="420" w:firstLineChars="200"/>
        <w:rPr>
          <w:color w:val="auto"/>
          <w:szCs w:val="21"/>
          <w:highlight w:val="none"/>
        </w:rPr>
      </w:pPr>
      <w:r>
        <w:rPr>
          <w:rFonts w:hint="eastAsia"/>
          <w:color w:val="auto"/>
          <w:szCs w:val="21"/>
          <w:highlight w:val="none"/>
        </w:rPr>
        <w:t>七、拟投入人员一览表</w:t>
      </w:r>
    </w:p>
    <w:p w14:paraId="1F5CAD8C">
      <w:pPr>
        <w:spacing w:line="360" w:lineRule="auto"/>
        <w:ind w:firstLine="420" w:firstLineChars="200"/>
        <w:rPr>
          <w:color w:val="auto"/>
          <w:szCs w:val="21"/>
          <w:highlight w:val="none"/>
        </w:rPr>
      </w:pPr>
      <w:r>
        <w:rPr>
          <w:rFonts w:hint="eastAsia"/>
          <w:color w:val="auto"/>
          <w:szCs w:val="21"/>
          <w:highlight w:val="none"/>
        </w:rPr>
        <w:t>......</w:t>
      </w:r>
    </w:p>
    <w:p w14:paraId="173658F8">
      <w:pPr>
        <w:spacing w:line="360" w:lineRule="auto"/>
        <w:ind w:firstLine="420" w:firstLineChars="200"/>
        <w:rPr>
          <w:color w:val="auto"/>
          <w:szCs w:val="21"/>
          <w:highlight w:val="none"/>
        </w:rPr>
      </w:pPr>
    </w:p>
    <w:p w14:paraId="56B055C2">
      <w:pPr>
        <w:spacing w:line="360" w:lineRule="auto"/>
        <w:ind w:firstLine="420" w:firstLineChars="200"/>
        <w:rPr>
          <w:color w:val="auto"/>
          <w:szCs w:val="21"/>
          <w:highlight w:val="none"/>
        </w:rPr>
      </w:pPr>
    </w:p>
    <w:p w14:paraId="7194E1A4">
      <w:pPr>
        <w:spacing w:line="440" w:lineRule="exact"/>
        <w:ind w:firstLine="480" w:firstLineChars="200"/>
        <w:rPr>
          <w:color w:val="auto"/>
          <w:sz w:val="24"/>
          <w:szCs w:val="24"/>
          <w:highlight w:val="none"/>
        </w:rPr>
      </w:pPr>
    </w:p>
    <w:p w14:paraId="035B3320">
      <w:pPr>
        <w:spacing w:line="440" w:lineRule="exact"/>
        <w:ind w:firstLine="480" w:firstLineChars="200"/>
        <w:rPr>
          <w:color w:val="auto"/>
          <w:sz w:val="24"/>
          <w:szCs w:val="24"/>
          <w:highlight w:val="none"/>
        </w:rPr>
      </w:pPr>
    </w:p>
    <w:p w14:paraId="2FFAE4B2">
      <w:pPr>
        <w:jc w:val="left"/>
        <w:rPr>
          <w:b/>
          <w:color w:val="auto"/>
          <w:szCs w:val="21"/>
          <w:highlight w:val="none"/>
        </w:rPr>
      </w:pPr>
    </w:p>
    <w:p w14:paraId="7566C32C">
      <w:pPr>
        <w:jc w:val="left"/>
        <w:rPr>
          <w:b/>
          <w:color w:val="auto"/>
          <w:sz w:val="22"/>
          <w:szCs w:val="21"/>
          <w:highlight w:val="none"/>
        </w:rPr>
      </w:pPr>
    </w:p>
    <w:p w14:paraId="7D09D5A1">
      <w:pPr>
        <w:jc w:val="left"/>
        <w:rPr>
          <w:b/>
          <w:color w:val="auto"/>
          <w:szCs w:val="21"/>
          <w:highlight w:val="none"/>
        </w:rPr>
      </w:pPr>
    </w:p>
    <w:p w14:paraId="4D59E47C">
      <w:pPr>
        <w:jc w:val="left"/>
        <w:rPr>
          <w:b/>
          <w:color w:val="auto"/>
          <w:szCs w:val="21"/>
          <w:highlight w:val="none"/>
        </w:rPr>
      </w:pPr>
    </w:p>
    <w:p w14:paraId="035D9981">
      <w:pPr>
        <w:jc w:val="left"/>
        <w:rPr>
          <w:b/>
          <w:color w:val="auto"/>
          <w:szCs w:val="21"/>
          <w:highlight w:val="none"/>
        </w:rPr>
      </w:pPr>
    </w:p>
    <w:p w14:paraId="64CAFFC7">
      <w:pPr>
        <w:jc w:val="left"/>
        <w:rPr>
          <w:b/>
          <w:color w:val="auto"/>
          <w:szCs w:val="21"/>
          <w:highlight w:val="none"/>
        </w:rPr>
      </w:pPr>
    </w:p>
    <w:p w14:paraId="31C1AF49">
      <w:pPr>
        <w:jc w:val="left"/>
        <w:rPr>
          <w:b/>
          <w:color w:val="auto"/>
          <w:szCs w:val="21"/>
          <w:highlight w:val="none"/>
        </w:rPr>
      </w:pPr>
    </w:p>
    <w:p w14:paraId="0CB54680">
      <w:pPr>
        <w:jc w:val="left"/>
        <w:rPr>
          <w:b/>
          <w:color w:val="auto"/>
          <w:szCs w:val="21"/>
          <w:highlight w:val="none"/>
        </w:rPr>
      </w:pPr>
    </w:p>
    <w:p w14:paraId="6FC06546">
      <w:pPr>
        <w:jc w:val="left"/>
        <w:rPr>
          <w:b/>
          <w:color w:val="auto"/>
          <w:szCs w:val="21"/>
          <w:highlight w:val="none"/>
        </w:rPr>
      </w:pPr>
    </w:p>
    <w:p w14:paraId="0EBC3ECF">
      <w:pPr>
        <w:jc w:val="left"/>
        <w:rPr>
          <w:b/>
          <w:color w:val="auto"/>
          <w:szCs w:val="21"/>
          <w:highlight w:val="none"/>
        </w:rPr>
      </w:pPr>
    </w:p>
    <w:p w14:paraId="5DC24609">
      <w:pPr>
        <w:jc w:val="left"/>
        <w:rPr>
          <w:b/>
          <w:color w:val="auto"/>
          <w:szCs w:val="21"/>
          <w:highlight w:val="none"/>
        </w:rPr>
      </w:pPr>
    </w:p>
    <w:p w14:paraId="0391FBCC">
      <w:pPr>
        <w:spacing w:line="360" w:lineRule="auto"/>
        <w:jc w:val="center"/>
        <w:rPr>
          <w:b/>
          <w:color w:val="auto"/>
          <w:szCs w:val="21"/>
          <w:highlight w:val="none"/>
        </w:rPr>
      </w:pPr>
      <w:bookmarkStart w:id="136" w:name="OLE_LINK168"/>
      <w:bookmarkEnd w:id="136"/>
      <w:bookmarkStart w:id="137" w:name="OLE_LINK166"/>
      <w:bookmarkEnd w:id="137"/>
      <w:r>
        <w:rPr>
          <w:rFonts w:hint="eastAsia"/>
          <w:b/>
          <w:color w:val="auto"/>
          <w:szCs w:val="21"/>
          <w:highlight w:val="none"/>
        </w:rPr>
        <w:t>一、资格性和符合性检查响应对照表</w:t>
      </w:r>
    </w:p>
    <w:p w14:paraId="4D4C5D21">
      <w:pPr>
        <w:spacing w:line="360" w:lineRule="auto"/>
        <w:ind w:firstLine="309"/>
        <w:rPr>
          <w:color w:val="auto"/>
          <w:szCs w:val="21"/>
          <w:highlight w:val="none"/>
        </w:rPr>
      </w:pPr>
      <w:r>
        <w:rPr>
          <w:rFonts w:hint="eastAsia"/>
          <w:color w:val="auto"/>
          <w:szCs w:val="21"/>
          <w:highlight w:val="none"/>
        </w:rPr>
        <w:t>谈判供应商全称（加盖公章）：</w:t>
      </w:r>
    </w:p>
    <w:tbl>
      <w:tblPr>
        <w:tblStyle w:val="26"/>
        <w:tblW w:w="8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4916"/>
        <w:gridCol w:w="1838"/>
        <w:gridCol w:w="1515"/>
      </w:tblGrid>
      <w:tr w14:paraId="72423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621" w:type="dxa"/>
            <w:vAlign w:val="center"/>
          </w:tcPr>
          <w:p w14:paraId="3999F119">
            <w:pPr>
              <w:spacing w:after="0" w:line="360" w:lineRule="auto"/>
              <w:jc w:val="center"/>
              <w:rPr>
                <w:color w:val="auto"/>
                <w:szCs w:val="21"/>
                <w:highlight w:val="none"/>
              </w:rPr>
            </w:pPr>
            <w:r>
              <w:rPr>
                <w:rFonts w:hint="eastAsia"/>
                <w:color w:val="auto"/>
                <w:szCs w:val="21"/>
                <w:highlight w:val="none"/>
              </w:rPr>
              <w:t>序号</w:t>
            </w:r>
          </w:p>
        </w:tc>
        <w:tc>
          <w:tcPr>
            <w:tcW w:w="4916" w:type="dxa"/>
            <w:vAlign w:val="center"/>
          </w:tcPr>
          <w:p w14:paraId="687A864B">
            <w:pPr>
              <w:spacing w:after="0" w:line="360" w:lineRule="auto"/>
              <w:jc w:val="center"/>
              <w:rPr>
                <w:color w:val="auto"/>
                <w:szCs w:val="21"/>
                <w:highlight w:val="none"/>
              </w:rPr>
            </w:pPr>
            <w:r>
              <w:rPr>
                <w:rFonts w:hint="eastAsia"/>
                <w:color w:val="auto"/>
                <w:szCs w:val="21"/>
                <w:highlight w:val="none"/>
              </w:rPr>
              <w:t>资格和符合性检查响应内容</w:t>
            </w:r>
          </w:p>
        </w:tc>
        <w:tc>
          <w:tcPr>
            <w:tcW w:w="1838" w:type="dxa"/>
            <w:vAlign w:val="center"/>
          </w:tcPr>
          <w:p w14:paraId="34BD6ED6">
            <w:pPr>
              <w:spacing w:after="0" w:line="360" w:lineRule="auto"/>
              <w:jc w:val="center"/>
              <w:rPr>
                <w:color w:val="auto"/>
                <w:szCs w:val="21"/>
                <w:highlight w:val="none"/>
              </w:rPr>
            </w:pPr>
            <w:r>
              <w:rPr>
                <w:rFonts w:hint="eastAsia"/>
                <w:color w:val="auto"/>
                <w:szCs w:val="21"/>
                <w:highlight w:val="none"/>
              </w:rPr>
              <w:t>是否响应</w:t>
            </w:r>
          </w:p>
          <w:p w14:paraId="533C7713">
            <w:pPr>
              <w:spacing w:after="0" w:line="360" w:lineRule="auto"/>
              <w:jc w:val="center"/>
              <w:rPr>
                <w:color w:val="auto"/>
                <w:szCs w:val="21"/>
                <w:highlight w:val="none"/>
              </w:rPr>
            </w:pPr>
            <w:r>
              <w:rPr>
                <w:rFonts w:hint="eastAsia"/>
                <w:color w:val="auto"/>
                <w:szCs w:val="21"/>
                <w:highlight w:val="none"/>
              </w:rPr>
              <w:t>（填是或者否）</w:t>
            </w:r>
          </w:p>
        </w:tc>
        <w:tc>
          <w:tcPr>
            <w:tcW w:w="1515" w:type="dxa"/>
            <w:vAlign w:val="center"/>
          </w:tcPr>
          <w:p w14:paraId="278BB47F">
            <w:pPr>
              <w:spacing w:after="0" w:line="360" w:lineRule="auto"/>
              <w:jc w:val="center"/>
              <w:rPr>
                <w:color w:val="auto"/>
                <w:szCs w:val="21"/>
                <w:highlight w:val="none"/>
              </w:rPr>
            </w:pPr>
            <w:r>
              <w:rPr>
                <w:rFonts w:hint="eastAsia"/>
                <w:color w:val="auto"/>
                <w:szCs w:val="21"/>
                <w:highlight w:val="none"/>
              </w:rPr>
              <w:t>响应文件中的页码位置</w:t>
            </w:r>
          </w:p>
        </w:tc>
      </w:tr>
      <w:tr w14:paraId="48F08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621" w:type="dxa"/>
            <w:vAlign w:val="center"/>
          </w:tcPr>
          <w:p w14:paraId="06C73ACD">
            <w:pPr>
              <w:spacing w:after="0" w:line="360" w:lineRule="auto"/>
              <w:rPr>
                <w:i/>
                <w:color w:val="auto"/>
                <w:szCs w:val="21"/>
                <w:highlight w:val="none"/>
                <w:u w:val="single"/>
              </w:rPr>
            </w:pPr>
            <w:r>
              <w:rPr>
                <w:rFonts w:hint="eastAsia"/>
                <w:i/>
                <w:color w:val="auto"/>
                <w:szCs w:val="21"/>
                <w:highlight w:val="none"/>
                <w:u w:val="single"/>
              </w:rPr>
              <w:t>1</w:t>
            </w:r>
          </w:p>
        </w:tc>
        <w:tc>
          <w:tcPr>
            <w:tcW w:w="4916" w:type="dxa"/>
            <w:vAlign w:val="center"/>
          </w:tcPr>
          <w:p w14:paraId="428DB998">
            <w:pPr>
              <w:spacing w:after="0" w:line="360" w:lineRule="auto"/>
              <w:rPr>
                <w:i/>
                <w:iCs/>
                <w:color w:val="auto"/>
                <w:szCs w:val="21"/>
                <w:highlight w:val="none"/>
                <w:u w:val="single"/>
              </w:rPr>
            </w:pPr>
          </w:p>
        </w:tc>
        <w:tc>
          <w:tcPr>
            <w:tcW w:w="1838" w:type="dxa"/>
            <w:vAlign w:val="center"/>
          </w:tcPr>
          <w:p w14:paraId="4A134414">
            <w:pPr>
              <w:spacing w:after="0" w:line="360" w:lineRule="auto"/>
              <w:rPr>
                <w:color w:val="auto"/>
                <w:szCs w:val="21"/>
                <w:highlight w:val="none"/>
              </w:rPr>
            </w:pPr>
          </w:p>
        </w:tc>
        <w:tc>
          <w:tcPr>
            <w:tcW w:w="1515" w:type="dxa"/>
            <w:vAlign w:val="center"/>
          </w:tcPr>
          <w:p w14:paraId="135BFCBD">
            <w:pPr>
              <w:spacing w:after="0" w:line="360" w:lineRule="auto"/>
              <w:rPr>
                <w:color w:val="auto"/>
                <w:szCs w:val="21"/>
                <w:highlight w:val="none"/>
              </w:rPr>
            </w:pPr>
          </w:p>
        </w:tc>
      </w:tr>
      <w:tr w14:paraId="4A887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621" w:type="dxa"/>
            <w:vAlign w:val="center"/>
          </w:tcPr>
          <w:p w14:paraId="26F3F7A6">
            <w:pPr>
              <w:spacing w:after="0" w:line="360" w:lineRule="auto"/>
              <w:rPr>
                <w:i/>
                <w:color w:val="auto"/>
                <w:szCs w:val="21"/>
                <w:highlight w:val="none"/>
                <w:u w:val="single"/>
              </w:rPr>
            </w:pPr>
            <w:r>
              <w:rPr>
                <w:rFonts w:hint="eastAsia"/>
                <w:i/>
                <w:color w:val="auto"/>
                <w:szCs w:val="21"/>
                <w:highlight w:val="none"/>
                <w:u w:val="single"/>
              </w:rPr>
              <w:t>2</w:t>
            </w:r>
          </w:p>
        </w:tc>
        <w:tc>
          <w:tcPr>
            <w:tcW w:w="4916" w:type="dxa"/>
            <w:vAlign w:val="center"/>
          </w:tcPr>
          <w:p w14:paraId="71FD2AD6">
            <w:pPr>
              <w:spacing w:after="0" w:line="360" w:lineRule="auto"/>
              <w:rPr>
                <w:i/>
                <w:iCs/>
                <w:color w:val="auto"/>
                <w:szCs w:val="21"/>
                <w:highlight w:val="none"/>
                <w:u w:val="single"/>
              </w:rPr>
            </w:pPr>
          </w:p>
        </w:tc>
        <w:tc>
          <w:tcPr>
            <w:tcW w:w="1838" w:type="dxa"/>
            <w:vAlign w:val="center"/>
          </w:tcPr>
          <w:p w14:paraId="213A7D83">
            <w:pPr>
              <w:spacing w:after="0" w:line="360" w:lineRule="auto"/>
              <w:rPr>
                <w:color w:val="auto"/>
                <w:szCs w:val="21"/>
                <w:highlight w:val="none"/>
              </w:rPr>
            </w:pPr>
          </w:p>
        </w:tc>
        <w:tc>
          <w:tcPr>
            <w:tcW w:w="1515" w:type="dxa"/>
            <w:vAlign w:val="center"/>
          </w:tcPr>
          <w:p w14:paraId="508D877B">
            <w:pPr>
              <w:spacing w:after="0" w:line="360" w:lineRule="auto"/>
              <w:rPr>
                <w:color w:val="auto"/>
                <w:szCs w:val="21"/>
                <w:highlight w:val="none"/>
              </w:rPr>
            </w:pPr>
          </w:p>
        </w:tc>
      </w:tr>
      <w:tr w14:paraId="477EF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621" w:type="dxa"/>
            <w:vAlign w:val="center"/>
          </w:tcPr>
          <w:p w14:paraId="17B1BD44">
            <w:pPr>
              <w:spacing w:after="0" w:line="360" w:lineRule="auto"/>
              <w:rPr>
                <w:i/>
                <w:color w:val="auto"/>
                <w:szCs w:val="21"/>
                <w:highlight w:val="none"/>
                <w:u w:val="single"/>
              </w:rPr>
            </w:pPr>
            <w:r>
              <w:rPr>
                <w:rFonts w:hint="eastAsia"/>
                <w:i/>
                <w:color w:val="auto"/>
                <w:szCs w:val="21"/>
                <w:highlight w:val="none"/>
                <w:u w:val="single"/>
              </w:rPr>
              <w:t>3</w:t>
            </w:r>
          </w:p>
        </w:tc>
        <w:tc>
          <w:tcPr>
            <w:tcW w:w="4916" w:type="dxa"/>
            <w:vAlign w:val="center"/>
          </w:tcPr>
          <w:p w14:paraId="643B8330">
            <w:pPr>
              <w:spacing w:after="0" w:line="360" w:lineRule="auto"/>
              <w:rPr>
                <w:i/>
                <w:iCs/>
                <w:color w:val="auto"/>
                <w:szCs w:val="21"/>
                <w:highlight w:val="none"/>
                <w:u w:val="single"/>
              </w:rPr>
            </w:pPr>
          </w:p>
        </w:tc>
        <w:tc>
          <w:tcPr>
            <w:tcW w:w="1838" w:type="dxa"/>
            <w:vAlign w:val="center"/>
          </w:tcPr>
          <w:p w14:paraId="5F5766AB">
            <w:pPr>
              <w:spacing w:after="0" w:line="360" w:lineRule="auto"/>
              <w:rPr>
                <w:color w:val="auto"/>
                <w:szCs w:val="21"/>
                <w:highlight w:val="none"/>
              </w:rPr>
            </w:pPr>
          </w:p>
        </w:tc>
        <w:tc>
          <w:tcPr>
            <w:tcW w:w="1515" w:type="dxa"/>
            <w:vAlign w:val="center"/>
          </w:tcPr>
          <w:p w14:paraId="34B8E966">
            <w:pPr>
              <w:spacing w:after="0" w:line="360" w:lineRule="auto"/>
              <w:rPr>
                <w:color w:val="auto"/>
                <w:szCs w:val="21"/>
                <w:highlight w:val="none"/>
              </w:rPr>
            </w:pPr>
          </w:p>
        </w:tc>
      </w:tr>
      <w:tr w14:paraId="22DC8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621" w:type="dxa"/>
            <w:vAlign w:val="center"/>
          </w:tcPr>
          <w:p w14:paraId="7704FB68">
            <w:pPr>
              <w:spacing w:after="0" w:line="360" w:lineRule="auto"/>
              <w:rPr>
                <w:i/>
                <w:color w:val="auto"/>
                <w:szCs w:val="21"/>
                <w:highlight w:val="none"/>
                <w:u w:val="single"/>
              </w:rPr>
            </w:pPr>
            <w:r>
              <w:rPr>
                <w:rFonts w:hint="eastAsia"/>
                <w:i/>
                <w:color w:val="auto"/>
                <w:szCs w:val="21"/>
                <w:highlight w:val="none"/>
                <w:u w:val="single"/>
              </w:rPr>
              <w:t>4</w:t>
            </w:r>
          </w:p>
        </w:tc>
        <w:tc>
          <w:tcPr>
            <w:tcW w:w="4916" w:type="dxa"/>
            <w:vAlign w:val="center"/>
          </w:tcPr>
          <w:p w14:paraId="56B7CE74">
            <w:pPr>
              <w:spacing w:after="0" w:line="360" w:lineRule="auto"/>
              <w:rPr>
                <w:i/>
                <w:iCs/>
                <w:color w:val="auto"/>
                <w:szCs w:val="21"/>
                <w:highlight w:val="none"/>
                <w:u w:val="single"/>
              </w:rPr>
            </w:pPr>
          </w:p>
        </w:tc>
        <w:tc>
          <w:tcPr>
            <w:tcW w:w="1838" w:type="dxa"/>
            <w:vAlign w:val="center"/>
          </w:tcPr>
          <w:p w14:paraId="50C0535C">
            <w:pPr>
              <w:spacing w:after="0" w:line="360" w:lineRule="auto"/>
              <w:rPr>
                <w:color w:val="auto"/>
                <w:szCs w:val="21"/>
                <w:highlight w:val="none"/>
              </w:rPr>
            </w:pPr>
          </w:p>
        </w:tc>
        <w:tc>
          <w:tcPr>
            <w:tcW w:w="1515" w:type="dxa"/>
            <w:vAlign w:val="center"/>
          </w:tcPr>
          <w:p w14:paraId="21341FE3">
            <w:pPr>
              <w:spacing w:after="0" w:line="360" w:lineRule="auto"/>
              <w:rPr>
                <w:color w:val="auto"/>
                <w:szCs w:val="21"/>
                <w:highlight w:val="none"/>
              </w:rPr>
            </w:pPr>
          </w:p>
        </w:tc>
      </w:tr>
      <w:tr w14:paraId="7A9EA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4" w:hRule="atLeast"/>
          <w:jc w:val="center"/>
        </w:trPr>
        <w:tc>
          <w:tcPr>
            <w:tcW w:w="621" w:type="dxa"/>
            <w:vAlign w:val="center"/>
          </w:tcPr>
          <w:p w14:paraId="416E6E84">
            <w:pPr>
              <w:spacing w:after="0" w:line="360" w:lineRule="auto"/>
              <w:rPr>
                <w:i/>
                <w:color w:val="auto"/>
                <w:szCs w:val="21"/>
                <w:highlight w:val="none"/>
                <w:u w:val="single"/>
              </w:rPr>
            </w:pPr>
            <w:r>
              <w:rPr>
                <w:rFonts w:hint="eastAsia"/>
                <w:i/>
                <w:color w:val="auto"/>
                <w:szCs w:val="21"/>
                <w:highlight w:val="none"/>
                <w:u w:val="single"/>
              </w:rPr>
              <w:t>5</w:t>
            </w:r>
          </w:p>
        </w:tc>
        <w:tc>
          <w:tcPr>
            <w:tcW w:w="4916" w:type="dxa"/>
            <w:vAlign w:val="center"/>
          </w:tcPr>
          <w:p w14:paraId="39A193DA">
            <w:pPr>
              <w:spacing w:after="0" w:line="360" w:lineRule="auto"/>
              <w:rPr>
                <w:i/>
                <w:iCs/>
                <w:color w:val="auto"/>
                <w:szCs w:val="21"/>
                <w:highlight w:val="none"/>
                <w:u w:val="single"/>
              </w:rPr>
            </w:pPr>
          </w:p>
        </w:tc>
        <w:tc>
          <w:tcPr>
            <w:tcW w:w="1838" w:type="dxa"/>
            <w:vAlign w:val="center"/>
          </w:tcPr>
          <w:p w14:paraId="7E7DE855">
            <w:pPr>
              <w:spacing w:after="0" w:line="360" w:lineRule="auto"/>
              <w:rPr>
                <w:color w:val="auto"/>
                <w:szCs w:val="21"/>
                <w:highlight w:val="none"/>
              </w:rPr>
            </w:pPr>
          </w:p>
        </w:tc>
        <w:tc>
          <w:tcPr>
            <w:tcW w:w="1515" w:type="dxa"/>
            <w:vAlign w:val="center"/>
          </w:tcPr>
          <w:p w14:paraId="7F5A0ACE">
            <w:pPr>
              <w:spacing w:after="0" w:line="360" w:lineRule="auto"/>
              <w:rPr>
                <w:color w:val="auto"/>
                <w:szCs w:val="21"/>
                <w:highlight w:val="none"/>
              </w:rPr>
            </w:pPr>
          </w:p>
        </w:tc>
      </w:tr>
      <w:tr w14:paraId="23688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621" w:type="dxa"/>
            <w:vAlign w:val="center"/>
          </w:tcPr>
          <w:p w14:paraId="1E7556C4">
            <w:pPr>
              <w:spacing w:after="0" w:line="360" w:lineRule="auto"/>
              <w:rPr>
                <w:i/>
                <w:color w:val="auto"/>
                <w:szCs w:val="21"/>
                <w:highlight w:val="none"/>
                <w:u w:val="single"/>
              </w:rPr>
            </w:pPr>
          </w:p>
        </w:tc>
        <w:tc>
          <w:tcPr>
            <w:tcW w:w="4916" w:type="dxa"/>
            <w:vAlign w:val="center"/>
          </w:tcPr>
          <w:p w14:paraId="42A26C9C">
            <w:pPr>
              <w:spacing w:after="0" w:line="360" w:lineRule="auto"/>
              <w:jc w:val="center"/>
              <w:rPr>
                <w:i/>
                <w:iCs/>
                <w:color w:val="auto"/>
                <w:szCs w:val="21"/>
                <w:highlight w:val="none"/>
                <w:u w:val="single"/>
              </w:rPr>
            </w:pPr>
            <w:r>
              <w:rPr>
                <w:rFonts w:hint="eastAsia"/>
                <w:i/>
                <w:iCs/>
                <w:color w:val="auto"/>
                <w:szCs w:val="21"/>
                <w:highlight w:val="none"/>
              </w:rPr>
              <w:t>...</w:t>
            </w:r>
          </w:p>
        </w:tc>
        <w:tc>
          <w:tcPr>
            <w:tcW w:w="1838" w:type="dxa"/>
            <w:vAlign w:val="center"/>
          </w:tcPr>
          <w:p w14:paraId="3C410548">
            <w:pPr>
              <w:spacing w:after="0" w:line="360" w:lineRule="auto"/>
              <w:rPr>
                <w:color w:val="auto"/>
                <w:szCs w:val="21"/>
                <w:highlight w:val="none"/>
              </w:rPr>
            </w:pPr>
          </w:p>
        </w:tc>
        <w:tc>
          <w:tcPr>
            <w:tcW w:w="1515" w:type="dxa"/>
            <w:vAlign w:val="center"/>
          </w:tcPr>
          <w:p w14:paraId="2E50EE1D">
            <w:pPr>
              <w:spacing w:after="0" w:line="360" w:lineRule="auto"/>
              <w:rPr>
                <w:color w:val="auto"/>
                <w:szCs w:val="21"/>
                <w:highlight w:val="none"/>
              </w:rPr>
            </w:pPr>
          </w:p>
        </w:tc>
      </w:tr>
      <w:tr w14:paraId="32FD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621" w:type="dxa"/>
            <w:vAlign w:val="center"/>
          </w:tcPr>
          <w:p w14:paraId="5DC83D61">
            <w:pPr>
              <w:spacing w:after="0" w:line="360" w:lineRule="auto"/>
              <w:rPr>
                <w:i/>
                <w:color w:val="auto"/>
                <w:szCs w:val="21"/>
                <w:highlight w:val="none"/>
                <w:u w:val="single"/>
              </w:rPr>
            </w:pPr>
          </w:p>
        </w:tc>
        <w:tc>
          <w:tcPr>
            <w:tcW w:w="4916" w:type="dxa"/>
            <w:vAlign w:val="center"/>
          </w:tcPr>
          <w:p w14:paraId="53EC01A5">
            <w:pPr>
              <w:spacing w:after="0" w:line="360" w:lineRule="auto"/>
              <w:rPr>
                <w:i/>
                <w:iCs/>
                <w:color w:val="auto"/>
                <w:szCs w:val="21"/>
                <w:highlight w:val="none"/>
                <w:u w:val="single"/>
              </w:rPr>
            </w:pPr>
            <w:r>
              <w:rPr>
                <w:rFonts w:hint="eastAsia"/>
                <w:i/>
                <w:iCs/>
                <w:color w:val="auto"/>
                <w:szCs w:val="21"/>
                <w:highlight w:val="none"/>
                <w:u w:val="single"/>
              </w:rPr>
              <w:t>谈判采购文件中的其他实质性要求</w:t>
            </w:r>
          </w:p>
        </w:tc>
        <w:tc>
          <w:tcPr>
            <w:tcW w:w="1838" w:type="dxa"/>
            <w:vAlign w:val="center"/>
          </w:tcPr>
          <w:p w14:paraId="05233F23">
            <w:pPr>
              <w:spacing w:after="0" w:line="360" w:lineRule="auto"/>
              <w:rPr>
                <w:color w:val="auto"/>
                <w:szCs w:val="21"/>
                <w:highlight w:val="none"/>
              </w:rPr>
            </w:pPr>
          </w:p>
        </w:tc>
        <w:tc>
          <w:tcPr>
            <w:tcW w:w="1515" w:type="dxa"/>
            <w:vAlign w:val="center"/>
          </w:tcPr>
          <w:p w14:paraId="1C703DD7">
            <w:pPr>
              <w:spacing w:after="0" w:line="360" w:lineRule="auto"/>
              <w:rPr>
                <w:color w:val="auto"/>
                <w:szCs w:val="21"/>
                <w:highlight w:val="none"/>
              </w:rPr>
            </w:pPr>
          </w:p>
        </w:tc>
      </w:tr>
    </w:tbl>
    <w:p w14:paraId="3B6EE14B">
      <w:pPr>
        <w:spacing w:before="50" w:after="50"/>
        <w:rPr>
          <w:color w:val="auto"/>
          <w:szCs w:val="21"/>
          <w:highlight w:val="none"/>
        </w:rPr>
      </w:pPr>
    </w:p>
    <w:p w14:paraId="74045808">
      <w:pPr>
        <w:spacing w:line="360" w:lineRule="auto"/>
        <w:jc w:val="center"/>
        <w:rPr>
          <w:b/>
          <w:color w:val="auto"/>
          <w:szCs w:val="21"/>
          <w:highlight w:val="none"/>
        </w:rPr>
      </w:pPr>
    </w:p>
    <w:p w14:paraId="376F42E5">
      <w:pPr>
        <w:spacing w:line="360" w:lineRule="auto"/>
        <w:jc w:val="center"/>
        <w:rPr>
          <w:b/>
          <w:color w:val="auto"/>
          <w:szCs w:val="21"/>
          <w:highlight w:val="none"/>
        </w:rPr>
      </w:pPr>
    </w:p>
    <w:p w14:paraId="10275BCA">
      <w:pPr>
        <w:spacing w:line="360" w:lineRule="auto"/>
        <w:jc w:val="center"/>
        <w:rPr>
          <w:b/>
          <w:color w:val="auto"/>
          <w:szCs w:val="21"/>
          <w:highlight w:val="none"/>
        </w:rPr>
      </w:pPr>
    </w:p>
    <w:p w14:paraId="316384E5">
      <w:pPr>
        <w:spacing w:line="360" w:lineRule="auto"/>
        <w:jc w:val="center"/>
        <w:rPr>
          <w:b/>
          <w:color w:val="auto"/>
          <w:szCs w:val="21"/>
          <w:highlight w:val="none"/>
        </w:rPr>
      </w:pPr>
    </w:p>
    <w:p w14:paraId="26CC89C5">
      <w:pPr>
        <w:spacing w:line="360" w:lineRule="auto"/>
        <w:jc w:val="center"/>
        <w:rPr>
          <w:b/>
          <w:color w:val="auto"/>
          <w:szCs w:val="21"/>
          <w:highlight w:val="none"/>
        </w:rPr>
      </w:pPr>
    </w:p>
    <w:p w14:paraId="5E8BB3A0">
      <w:pPr>
        <w:spacing w:line="360" w:lineRule="auto"/>
        <w:jc w:val="center"/>
        <w:rPr>
          <w:b/>
          <w:color w:val="auto"/>
          <w:szCs w:val="21"/>
          <w:highlight w:val="none"/>
        </w:rPr>
      </w:pPr>
    </w:p>
    <w:p w14:paraId="40FAABE8">
      <w:pPr>
        <w:spacing w:line="360" w:lineRule="auto"/>
        <w:jc w:val="center"/>
        <w:rPr>
          <w:b/>
          <w:color w:val="auto"/>
          <w:szCs w:val="21"/>
          <w:highlight w:val="none"/>
        </w:rPr>
      </w:pPr>
    </w:p>
    <w:p w14:paraId="01FF38F8">
      <w:pPr>
        <w:rPr>
          <w:color w:val="auto"/>
          <w:highlight w:val="none"/>
        </w:rPr>
      </w:pPr>
    </w:p>
    <w:p w14:paraId="4966C6C2">
      <w:pPr>
        <w:rPr>
          <w:color w:val="auto"/>
          <w:highlight w:val="none"/>
        </w:rPr>
      </w:pPr>
    </w:p>
    <w:p w14:paraId="2370E440">
      <w:pPr>
        <w:tabs>
          <w:tab w:val="center" w:pos="4153"/>
        </w:tabs>
        <w:jc w:val="left"/>
        <w:rPr>
          <w:b/>
          <w:color w:val="auto"/>
          <w:szCs w:val="21"/>
          <w:highlight w:val="none"/>
        </w:rPr>
      </w:pPr>
      <w:r>
        <w:rPr>
          <w:rFonts w:hint="eastAsia"/>
          <w:color w:val="auto"/>
          <w:highlight w:val="none"/>
        </w:rPr>
        <w:tab/>
      </w:r>
      <w:r>
        <w:rPr>
          <w:rFonts w:hint="eastAsia"/>
          <w:b/>
          <w:color w:val="auto"/>
          <w:szCs w:val="21"/>
          <w:highlight w:val="none"/>
        </w:rPr>
        <w:t>二、资信证明文件</w:t>
      </w:r>
    </w:p>
    <w:p w14:paraId="7BD0DFD5">
      <w:pPr>
        <w:spacing w:line="360" w:lineRule="auto"/>
        <w:ind w:firstLine="396" w:firstLineChars="200"/>
        <w:rPr>
          <w:rFonts w:cs="Arial"/>
          <w:color w:val="auto"/>
          <w:spacing w:val="-6"/>
          <w:szCs w:val="21"/>
          <w:highlight w:val="none"/>
        </w:rPr>
      </w:pPr>
    </w:p>
    <w:p w14:paraId="5A62223C">
      <w:pPr>
        <w:spacing w:line="360" w:lineRule="auto"/>
        <w:ind w:left="420" w:leftChars="200"/>
        <w:outlineLvl w:val="0"/>
        <w:rPr>
          <w:rFonts w:cs="Arial"/>
          <w:color w:val="auto"/>
          <w:spacing w:val="-6"/>
          <w:szCs w:val="21"/>
          <w:highlight w:val="none"/>
        </w:rPr>
      </w:pPr>
      <w:r>
        <w:rPr>
          <w:rFonts w:hint="eastAsia" w:cs="Arial"/>
          <w:color w:val="auto"/>
          <w:spacing w:val="-6"/>
          <w:szCs w:val="21"/>
          <w:highlight w:val="none"/>
        </w:rPr>
        <w:t>（一）符合《中华人民共和国政府采购法》第二十二条规定，且已在扬州市政府采购服务商城注册的供应商：</w:t>
      </w:r>
    </w:p>
    <w:p w14:paraId="6E7C4366">
      <w:pPr>
        <w:spacing w:line="360" w:lineRule="auto"/>
        <w:ind w:left="420" w:leftChars="200" w:firstLine="396" w:firstLineChars="200"/>
        <w:outlineLvl w:val="0"/>
        <w:rPr>
          <w:rFonts w:cs="Arial"/>
          <w:color w:val="auto"/>
          <w:spacing w:val="-6"/>
          <w:szCs w:val="21"/>
          <w:highlight w:val="none"/>
        </w:rPr>
      </w:pPr>
      <w:r>
        <w:rPr>
          <w:rFonts w:hint="eastAsia" w:cs="Arial"/>
          <w:color w:val="auto"/>
          <w:spacing w:val="-6"/>
          <w:szCs w:val="21"/>
          <w:highlight w:val="none"/>
        </w:rPr>
        <w:t>1 具有独立承担民事责任的能力（提供法人或者其他组织的营业执照等证明文件，扫描件加盖公章）；</w:t>
      </w:r>
    </w:p>
    <w:p w14:paraId="5D833083">
      <w:pPr>
        <w:spacing w:line="360" w:lineRule="auto"/>
        <w:ind w:left="420" w:leftChars="200" w:firstLine="396" w:firstLineChars="200"/>
        <w:outlineLvl w:val="0"/>
        <w:rPr>
          <w:rFonts w:cs="Arial"/>
          <w:color w:val="auto"/>
          <w:spacing w:val="-6"/>
          <w:szCs w:val="21"/>
          <w:highlight w:val="none"/>
        </w:rPr>
      </w:pPr>
      <w:r>
        <w:rPr>
          <w:rFonts w:hint="eastAsia" w:cs="Arial"/>
          <w:color w:val="auto"/>
          <w:spacing w:val="-6"/>
          <w:szCs w:val="21"/>
          <w:highlight w:val="none"/>
        </w:rPr>
        <w:t>2 被授权人参加谈判采购的须提供《法人授权书》原件、法定代表人身份证复印件、被授权人身份证复印件（原件备查）；若法定代表人参加谈判采购，只须提供本人身份证复印件（原件备查）</w:t>
      </w:r>
    </w:p>
    <w:p w14:paraId="4D28B4EA">
      <w:pPr>
        <w:spacing w:line="360" w:lineRule="auto"/>
        <w:ind w:left="420" w:leftChars="200" w:firstLine="396" w:firstLineChars="200"/>
        <w:outlineLvl w:val="0"/>
        <w:rPr>
          <w:rFonts w:cs="Arial"/>
          <w:color w:val="auto"/>
          <w:spacing w:val="-6"/>
          <w:szCs w:val="21"/>
          <w:highlight w:val="none"/>
        </w:rPr>
      </w:pPr>
      <w:r>
        <w:rPr>
          <w:rFonts w:hint="eastAsia" w:cs="Arial"/>
          <w:color w:val="auto"/>
          <w:spacing w:val="-6"/>
          <w:szCs w:val="21"/>
          <w:highlight w:val="none"/>
        </w:rPr>
        <w:t>3 具有良好的商业信誉和健全的财务会计制度；</w:t>
      </w:r>
    </w:p>
    <w:p w14:paraId="5C5A2859">
      <w:pPr>
        <w:spacing w:line="360" w:lineRule="auto"/>
        <w:ind w:left="420" w:leftChars="200" w:firstLine="396" w:firstLineChars="200"/>
        <w:outlineLvl w:val="0"/>
        <w:rPr>
          <w:rFonts w:cs="Arial"/>
          <w:color w:val="auto"/>
          <w:spacing w:val="-6"/>
          <w:szCs w:val="21"/>
          <w:highlight w:val="none"/>
        </w:rPr>
      </w:pPr>
      <w:r>
        <w:rPr>
          <w:rFonts w:hint="eastAsia" w:cs="Arial"/>
          <w:color w:val="auto"/>
          <w:spacing w:val="-6"/>
          <w:szCs w:val="21"/>
          <w:highlight w:val="none"/>
        </w:rPr>
        <w:t>4 具有履行合同所必需的设备和专业技术能力；</w:t>
      </w:r>
    </w:p>
    <w:p w14:paraId="39CF5222">
      <w:pPr>
        <w:spacing w:line="360" w:lineRule="auto"/>
        <w:ind w:left="420" w:leftChars="200" w:firstLine="396" w:firstLineChars="200"/>
        <w:outlineLvl w:val="0"/>
        <w:rPr>
          <w:rFonts w:cs="Arial"/>
          <w:color w:val="auto"/>
          <w:spacing w:val="-6"/>
          <w:szCs w:val="21"/>
          <w:highlight w:val="none"/>
        </w:rPr>
      </w:pPr>
      <w:r>
        <w:rPr>
          <w:rFonts w:hint="eastAsia" w:cs="Arial"/>
          <w:color w:val="auto"/>
          <w:spacing w:val="-6"/>
          <w:szCs w:val="21"/>
          <w:highlight w:val="none"/>
        </w:rPr>
        <w:t>5 有依法缴纳税收和社会保障资金的良好记录；</w:t>
      </w:r>
    </w:p>
    <w:p w14:paraId="7F1EFB9F">
      <w:pPr>
        <w:spacing w:line="360" w:lineRule="auto"/>
        <w:ind w:left="420" w:leftChars="200" w:firstLine="396" w:firstLineChars="200"/>
        <w:outlineLvl w:val="0"/>
        <w:rPr>
          <w:rFonts w:cs="Arial"/>
          <w:color w:val="auto"/>
          <w:spacing w:val="-6"/>
          <w:szCs w:val="21"/>
          <w:highlight w:val="none"/>
        </w:rPr>
      </w:pPr>
      <w:r>
        <w:rPr>
          <w:rFonts w:hint="eastAsia" w:cs="Arial"/>
          <w:color w:val="auto"/>
          <w:spacing w:val="-6"/>
          <w:szCs w:val="21"/>
          <w:highlight w:val="none"/>
        </w:rPr>
        <w:t>6 参加采购活动前三年内，在经营活动中没有重大违法记录；</w:t>
      </w:r>
    </w:p>
    <w:p w14:paraId="59E5B3AB">
      <w:pPr>
        <w:spacing w:line="360" w:lineRule="auto"/>
        <w:ind w:left="420" w:leftChars="200" w:firstLine="396" w:firstLineChars="200"/>
        <w:outlineLvl w:val="0"/>
        <w:rPr>
          <w:rFonts w:cs="Arial"/>
          <w:color w:val="auto"/>
          <w:spacing w:val="-6"/>
          <w:szCs w:val="21"/>
          <w:highlight w:val="none"/>
        </w:rPr>
      </w:pPr>
      <w:r>
        <w:rPr>
          <w:rFonts w:hint="eastAsia" w:cs="Arial"/>
          <w:color w:val="auto"/>
          <w:spacing w:val="-6"/>
          <w:szCs w:val="21"/>
          <w:highlight w:val="none"/>
        </w:rPr>
        <w:t>7 法律、行政法规规定的其他条件。</w:t>
      </w:r>
    </w:p>
    <w:p w14:paraId="1832118E">
      <w:pPr>
        <w:spacing w:line="360" w:lineRule="auto"/>
        <w:ind w:left="420" w:leftChars="200" w:firstLine="396" w:firstLineChars="200"/>
        <w:outlineLvl w:val="0"/>
        <w:rPr>
          <w:rFonts w:cs="Arial"/>
          <w:color w:val="auto"/>
          <w:spacing w:val="-6"/>
          <w:szCs w:val="21"/>
          <w:highlight w:val="none"/>
        </w:rPr>
      </w:pPr>
      <w:r>
        <w:rPr>
          <w:rFonts w:hint="eastAsia" w:cs="Arial"/>
          <w:color w:val="auto"/>
          <w:spacing w:val="-6"/>
          <w:szCs w:val="21"/>
          <w:highlight w:val="none"/>
        </w:rPr>
        <w:t>（3-7由供应商自行提供承诺说明，加盖公章）</w:t>
      </w:r>
    </w:p>
    <w:p w14:paraId="047C849F">
      <w:pPr>
        <w:spacing w:line="360" w:lineRule="auto"/>
        <w:ind w:left="420" w:leftChars="200"/>
        <w:outlineLvl w:val="0"/>
        <w:rPr>
          <w:rFonts w:cs="Arial"/>
          <w:b/>
          <w:bCs/>
          <w:color w:val="auto"/>
          <w:spacing w:val="-6"/>
          <w:szCs w:val="21"/>
          <w:highlight w:val="none"/>
        </w:rPr>
      </w:pPr>
      <w:r>
        <w:rPr>
          <w:rFonts w:hint="eastAsia" w:cs="Arial"/>
          <w:b/>
          <w:bCs/>
          <w:color w:val="auto"/>
          <w:spacing w:val="-6"/>
          <w:szCs w:val="21"/>
          <w:highlight w:val="none"/>
        </w:rPr>
        <w:t>注：①如供应商为非企业法人，则3和5项无需提供。</w:t>
      </w:r>
    </w:p>
    <w:p w14:paraId="351749F3">
      <w:pPr>
        <w:spacing w:line="360" w:lineRule="auto"/>
        <w:ind w:left="420" w:leftChars="200"/>
        <w:outlineLvl w:val="0"/>
        <w:rPr>
          <w:rFonts w:cs="Arial"/>
          <w:b/>
          <w:bCs/>
          <w:color w:val="auto"/>
          <w:spacing w:val="-6"/>
          <w:szCs w:val="21"/>
          <w:highlight w:val="none"/>
        </w:rPr>
      </w:pPr>
      <w:r>
        <w:rPr>
          <w:rFonts w:hint="eastAsia" w:cs="Arial"/>
          <w:b/>
          <w:bCs/>
          <w:color w:val="auto"/>
          <w:spacing w:val="-6"/>
          <w:szCs w:val="21"/>
          <w:highlight w:val="none"/>
        </w:rPr>
        <w:t>②如个体工商户、自然人、事业单位等非企业法人确实无法提供上述第3和第5项材料的，请提供相应情况说明。</w:t>
      </w:r>
    </w:p>
    <w:p w14:paraId="6566701D">
      <w:pPr>
        <w:spacing w:line="360" w:lineRule="auto"/>
        <w:ind w:firstLine="420" w:firstLineChars="200"/>
        <w:rPr>
          <w:color w:val="auto"/>
          <w:szCs w:val="21"/>
          <w:highlight w:val="none"/>
        </w:rPr>
      </w:pPr>
      <w:r>
        <w:rPr>
          <w:rFonts w:hint="eastAsia" w:cs="宋体"/>
          <w:color w:val="auto"/>
          <w:szCs w:val="21"/>
          <w:highlight w:val="none"/>
        </w:rPr>
        <w:t>（二）采购人根据本项目要求规定的特定条件：</w:t>
      </w:r>
      <w:r>
        <w:rPr>
          <w:rFonts w:hint="eastAsia" w:ascii="宋体" w:hAnsi="宋体" w:cs="宋体"/>
          <w:i/>
          <w:color w:val="auto"/>
          <w:szCs w:val="21"/>
          <w:highlight w:val="none"/>
          <w:u w:val="single"/>
        </w:rPr>
        <w:t>供应商须提供由公安机关核发的有效的《保安服务许可证》</w:t>
      </w:r>
      <w:r>
        <w:rPr>
          <w:rFonts w:hint="eastAsia"/>
          <w:i/>
          <w:iCs/>
          <w:color w:val="auto"/>
          <w:szCs w:val="21"/>
          <w:highlight w:val="none"/>
          <w:u w:val="single"/>
        </w:rPr>
        <w:t>（复印件加盖供应商公章）</w:t>
      </w:r>
    </w:p>
    <w:p w14:paraId="2DA325D1">
      <w:pPr>
        <w:spacing w:line="360" w:lineRule="auto"/>
        <w:ind w:left="420" w:leftChars="200"/>
        <w:outlineLvl w:val="0"/>
        <w:rPr>
          <w:color w:val="auto"/>
          <w:highlight w:val="none"/>
        </w:rPr>
      </w:pPr>
    </w:p>
    <w:p w14:paraId="3CA1DD87">
      <w:pPr>
        <w:pStyle w:val="59"/>
        <w:tabs>
          <w:tab w:val="clear" w:pos="360"/>
        </w:tabs>
        <w:spacing w:line="360" w:lineRule="auto"/>
        <w:ind w:firstLine="0" w:firstLineChars="0"/>
        <w:rPr>
          <w:b/>
          <w:bCs/>
          <w:color w:val="auto"/>
          <w:sz w:val="21"/>
          <w:szCs w:val="21"/>
          <w:highlight w:val="none"/>
        </w:rPr>
      </w:pPr>
    </w:p>
    <w:p w14:paraId="55C87F37">
      <w:pPr>
        <w:pStyle w:val="59"/>
        <w:tabs>
          <w:tab w:val="clear" w:pos="360"/>
        </w:tabs>
        <w:spacing w:line="360" w:lineRule="auto"/>
        <w:ind w:firstLine="420"/>
        <w:jc w:val="center"/>
        <w:rPr>
          <w:color w:val="auto"/>
          <w:sz w:val="21"/>
          <w:szCs w:val="21"/>
          <w:highlight w:val="none"/>
        </w:rPr>
        <w:sectPr>
          <w:pgSz w:w="11906" w:h="16838"/>
          <w:pgMar w:top="1440" w:right="1800" w:bottom="1440" w:left="1800" w:header="851" w:footer="992" w:gutter="0"/>
          <w:cols w:space="720" w:num="1"/>
          <w:docGrid w:type="lines" w:linePitch="312" w:charSpace="0"/>
        </w:sectPr>
      </w:pPr>
    </w:p>
    <w:p w14:paraId="19713EED">
      <w:pPr>
        <w:pStyle w:val="59"/>
        <w:tabs>
          <w:tab w:val="clear" w:pos="360"/>
        </w:tabs>
        <w:spacing w:line="360" w:lineRule="auto"/>
        <w:ind w:firstLine="422"/>
        <w:jc w:val="center"/>
        <w:rPr>
          <w:rFonts w:ascii="宋体" w:hAnsi="宋体"/>
          <w:b/>
          <w:color w:val="auto"/>
          <w:sz w:val="21"/>
          <w:szCs w:val="21"/>
          <w:highlight w:val="none"/>
        </w:rPr>
      </w:pPr>
      <w:r>
        <w:rPr>
          <w:rFonts w:hint="eastAsia" w:ascii="宋体" w:hAnsi="宋体"/>
          <w:b/>
          <w:bCs/>
          <w:color w:val="auto"/>
          <w:sz w:val="21"/>
          <w:szCs w:val="21"/>
          <w:highlight w:val="none"/>
        </w:rPr>
        <w:t>法人</w:t>
      </w:r>
      <w:r>
        <w:rPr>
          <w:rFonts w:hint="eastAsia" w:ascii="宋体" w:hAnsi="宋体"/>
          <w:b/>
          <w:color w:val="auto"/>
          <w:sz w:val="21"/>
          <w:szCs w:val="21"/>
          <w:highlight w:val="none"/>
        </w:rPr>
        <w:t>授权书</w:t>
      </w:r>
    </w:p>
    <w:p w14:paraId="149A63F8">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本授权书声明：____________（供应商名称）授权________________（被授权人的姓名）为我方就 号项目采购活动的合法代理人，以本成交供应商名义全权处理一切与该项目采购有关的事务。</w:t>
      </w:r>
    </w:p>
    <w:p w14:paraId="342A2260">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本授权书于______年____月____日起生效，特此声明。</w:t>
      </w:r>
    </w:p>
    <w:p w14:paraId="6336117D">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代理人（被授权人）：_______________________</w:t>
      </w:r>
    </w:p>
    <w:p w14:paraId="76D538B8">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单位名称：_____________________________________</w:t>
      </w:r>
    </w:p>
    <w:p w14:paraId="0B7214E3">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    授权单位盖章：_________________________________</w:t>
      </w:r>
    </w:p>
    <w:p w14:paraId="15C4C221">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单位名称：_____________________________________</w:t>
      </w:r>
    </w:p>
    <w:p w14:paraId="4CECE3F2">
      <w:pPr>
        <w:pStyle w:val="59"/>
        <w:tabs>
          <w:tab w:val="clear" w:pos="360"/>
        </w:tabs>
        <w:spacing w:line="360" w:lineRule="auto"/>
        <w:ind w:firstLine="420"/>
        <w:rPr>
          <w:rFonts w:ascii="宋体" w:hAnsi="宋体"/>
          <w:color w:val="auto"/>
          <w:sz w:val="21"/>
          <w:szCs w:val="21"/>
          <w:highlight w:val="none"/>
          <w:u w:val="single"/>
        </w:rPr>
      </w:pPr>
      <w:r>
        <w:rPr>
          <w:rFonts w:hint="eastAsia" w:ascii="宋体" w:hAnsi="宋体"/>
          <w:color w:val="auto"/>
          <w:sz w:val="21"/>
          <w:szCs w:val="21"/>
          <w:highlight w:val="none"/>
        </w:rPr>
        <w:t>地址：</w:t>
      </w:r>
    </w:p>
    <w:p w14:paraId="1F70CC23">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日期：</w:t>
      </w:r>
      <w:bookmarkStart w:id="138" w:name="_格式3__银行出具的资信证明"/>
      <w:bookmarkEnd w:id="138"/>
      <w:bookmarkStart w:id="139" w:name="_Hlt26671380"/>
      <w:bookmarkEnd w:id="139"/>
      <w:bookmarkStart w:id="140" w:name="_Hlt26955070"/>
      <w:bookmarkEnd w:id="140"/>
      <w:r>
        <w:rPr>
          <w:rFonts w:hint="eastAsia" w:ascii="宋体" w:hAnsi="宋体"/>
          <w:color w:val="auto"/>
          <w:sz w:val="21"/>
          <w:szCs w:val="21"/>
          <w:highlight w:val="none"/>
        </w:rPr>
        <w:t>年月日</w:t>
      </w:r>
    </w:p>
    <w:p w14:paraId="2BBD24ED">
      <w:pPr>
        <w:spacing w:line="460" w:lineRule="exact"/>
        <w:rPr>
          <w:rFonts w:ascii="宋体" w:hAnsi="宋体"/>
          <w:bCs/>
          <w:color w:val="auto"/>
          <w:sz w:val="24"/>
          <w:highlight w:val="none"/>
        </w:rPr>
      </w:pPr>
    </w:p>
    <w:p w14:paraId="6310CC1E">
      <w:pPr>
        <w:spacing w:line="460" w:lineRule="exact"/>
        <w:rPr>
          <w:rFonts w:ascii="宋体" w:hAnsi="宋体"/>
          <w:bCs/>
          <w:color w:val="auto"/>
          <w:sz w:val="24"/>
          <w:highlight w:val="none"/>
        </w:rPr>
      </w:pPr>
      <w:r>
        <w:rPr>
          <w:rFonts w:hint="eastAsia" w:ascii="宋体" w:hAnsi="宋体"/>
          <w:bCs/>
          <w:color w:val="auto"/>
          <w:sz w:val="24"/>
          <w:highlight w:val="none"/>
        </w:rPr>
        <w:tab/>
      </w:r>
    </w:p>
    <w:p w14:paraId="0265EDA2">
      <w:pPr>
        <w:pStyle w:val="59"/>
        <w:tabs>
          <w:tab w:val="clear" w:pos="360"/>
        </w:tabs>
        <w:spacing w:line="360" w:lineRule="auto"/>
        <w:ind w:firstLine="801" w:firstLineChars="380"/>
        <w:rPr>
          <w:rFonts w:ascii="宋体" w:hAnsi="宋体"/>
          <w:color w:val="auto"/>
          <w:sz w:val="21"/>
          <w:szCs w:val="21"/>
          <w:highlight w:val="none"/>
        </w:rPr>
      </w:pPr>
      <w:r>
        <w:rPr>
          <w:rFonts w:hint="eastAsia" w:ascii="宋体" w:hAnsi="宋体"/>
          <w:b/>
          <w:color w:val="auto"/>
          <w:sz w:val="21"/>
          <w:szCs w:val="21"/>
          <w:highlight w:val="none"/>
        </w:rPr>
        <w:t>参加采购活动前 3 年内在经营活动中没有重大违法记录的书面声明</w:t>
      </w:r>
    </w:p>
    <w:p w14:paraId="7EADD68F">
      <w:pPr>
        <w:spacing w:line="360" w:lineRule="auto"/>
        <w:rPr>
          <w:rFonts w:ascii="宋体" w:hAnsi="宋体"/>
          <w:b/>
          <w:bCs/>
          <w:color w:val="auto"/>
          <w:szCs w:val="21"/>
          <w:highlight w:val="none"/>
        </w:rPr>
      </w:pPr>
    </w:p>
    <w:p w14:paraId="53F24A15">
      <w:pPr>
        <w:spacing w:line="360" w:lineRule="auto"/>
        <w:rPr>
          <w:rFonts w:ascii="宋体" w:hAnsi="宋体"/>
          <w:b/>
          <w:bCs/>
          <w:color w:val="auto"/>
          <w:szCs w:val="21"/>
          <w:highlight w:val="none"/>
        </w:rPr>
      </w:pPr>
      <w:r>
        <w:rPr>
          <w:rFonts w:hint="eastAsia" w:ascii="宋体" w:hAnsi="宋体"/>
          <w:b/>
          <w:bCs/>
          <w:color w:val="auto"/>
          <w:szCs w:val="21"/>
          <w:highlight w:val="none"/>
        </w:rPr>
        <w:t xml:space="preserve">                              声  明   </w:t>
      </w:r>
    </w:p>
    <w:p w14:paraId="2E0995EB">
      <w:pPr>
        <w:spacing w:line="360" w:lineRule="auto"/>
        <w:rPr>
          <w:rFonts w:ascii="宋体" w:hAnsi="宋体"/>
          <w:bCs/>
          <w:color w:val="auto"/>
          <w:szCs w:val="21"/>
          <w:highlight w:val="none"/>
        </w:rPr>
      </w:pPr>
      <w:r>
        <w:rPr>
          <w:rFonts w:hint="eastAsia" w:ascii="宋体" w:hAnsi="宋体"/>
          <w:bCs/>
          <w:color w:val="auto"/>
          <w:szCs w:val="21"/>
          <w:highlight w:val="none"/>
        </w:rPr>
        <w:t>我成交供应商郑重声明：参加本次采购活动前 3 年内，我成交供应商在经营活动中没有因违法经营受到刑事处罚或者责令停产停业、吊销许可证或者执照、较大数额罚款等行政处罚。</w:t>
      </w:r>
    </w:p>
    <w:p w14:paraId="518DBDB4">
      <w:pPr>
        <w:spacing w:line="360" w:lineRule="auto"/>
        <w:rPr>
          <w:rFonts w:ascii="宋体" w:hAnsi="宋体"/>
          <w:bCs/>
          <w:color w:val="auto"/>
          <w:szCs w:val="21"/>
          <w:highlight w:val="none"/>
        </w:rPr>
      </w:pPr>
    </w:p>
    <w:p w14:paraId="0E380EC2">
      <w:pPr>
        <w:spacing w:line="360" w:lineRule="auto"/>
        <w:ind w:firstLine="4410" w:firstLineChars="2100"/>
        <w:rPr>
          <w:rFonts w:ascii="宋体" w:hAnsi="宋体"/>
          <w:bCs/>
          <w:color w:val="auto"/>
          <w:szCs w:val="21"/>
          <w:highlight w:val="none"/>
        </w:rPr>
      </w:pPr>
      <w:r>
        <w:rPr>
          <w:rFonts w:hint="eastAsia" w:ascii="宋体" w:hAnsi="宋体"/>
          <w:bCs/>
          <w:color w:val="auto"/>
          <w:szCs w:val="21"/>
          <w:highlight w:val="none"/>
        </w:rPr>
        <w:t>供应商名称（公章）：</w:t>
      </w:r>
    </w:p>
    <w:p w14:paraId="285F3EC2">
      <w:pPr>
        <w:spacing w:line="360" w:lineRule="auto"/>
        <w:rPr>
          <w:rFonts w:ascii="宋体" w:hAnsi="宋体"/>
          <w:bCs/>
          <w:color w:val="auto"/>
          <w:szCs w:val="21"/>
          <w:highlight w:val="none"/>
        </w:rPr>
      </w:pPr>
      <w:r>
        <w:rPr>
          <w:rFonts w:hint="eastAsia" w:ascii="宋体" w:hAnsi="宋体"/>
          <w:bCs/>
          <w:color w:val="auto"/>
          <w:szCs w:val="21"/>
          <w:highlight w:val="none"/>
        </w:rPr>
        <w:t xml:space="preserve">                                          法定代表人或授权代表签字：</w:t>
      </w:r>
      <w:r>
        <w:rPr>
          <w:rFonts w:hint="eastAsia" w:ascii="宋体" w:hAnsi="宋体"/>
          <w:bCs/>
          <w:color w:val="auto"/>
          <w:szCs w:val="21"/>
          <w:highlight w:val="none"/>
          <w:u w:val="single"/>
        </w:rPr>
        <w:t>______</w:t>
      </w:r>
    </w:p>
    <w:p w14:paraId="1DD6D869">
      <w:pPr>
        <w:spacing w:line="360" w:lineRule="auto"/>
        <w:rPr>
          <w:rFonts w:ascii="宋体" w:hAnsi="宋体"/>
          <w:bCs/>
          <w:color w:val="auto"/>
          <w:szCs w:val="21"/>
          <w:highlight w:val="none"/>
        </w:rPr>
      </w:pPr>
      <w:r>
        <w:rPr>
          <w:rFonts w:hint="eastAsia" w:ascii="宋体" w:hAnsi="宋体"/>
          <w:bCs/>
          <w:color w:val="auto"/>
          <w:szCs w:val="21"/>
          <w:highlight w:val="none"/>
        </w:rPr>
        <w:t xml:space="preserve">                                          日期：</w:t>
      </w:r>
      <w:r>
        <w:rPr>
          <w:rFonts w:hint="eastAsia" w:ascii="宋体" w:hAnsi="宋体"/>
          <w:bCs/>
          <w:color w:val="auto"/>
          <w:szCs w:val="21"/>
          <w:highlight w:val="none"/>
          <w:u w:val="single"/>
        </w:rPr>
        <w:t>______</w:t>
      </w:r>
      <w:r>
        <w:rPr>
          <w:rFonts w:hint="eastAsia" w:ascii="宋体" w:hAnsi="宋体"/>
          <w:bCs/>
          <w:color w:val="auto"/>
          <w:szCs w:val="21"/>
          <w:highlight w:val="none"/>
        </w:rPr>
        <w:t>年月日</w:t>
      </w:r>
    </w:p>
    <w:p w14:paraId="6692A6D2">
      <w:pPr>
        <w:spacing w:line="360" w:lineRule="auto"/>
        <w:jc w:val="center"/>
        <w:rPr>
          <w:rFonts w:ascii="黑体" w:hAnsi="黑体" w:eastAsia="黑体"/>
          <w:b/>
          <w:color w:val="auto"/>
          <w:sz w:val="32"/>
          <w:szCs w:val="32"/>
          <w:highlight w:val="none"/>
        </w:rPr>
        <w:sectPr>
          <w:pgSz w:w="11906" w:h="16838"/>
          <w:pgMar w:top="1440" w:right="1800" w:bottom="1440" w:left="1800" w:header="851" w:footer="992" w:gutter="0"/>
          <w:cols w:space="720" w:num="1"/>
          <w:docGrid w:type="lines" w:linePitch="312" w:charSpace="0"/>
        </w:sectPr>
      </w:pPr>
    </w:p>
    <w:p w14:paraId="236C916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供应商信用承诺书</w:t>
      </w:r>
    </w:p>
    <w:p w14:paraId="33BFBF04">
      <w:pPr>
        <w:spacing w:line="500" w:lineRule="exact"/>
        <w:rPr>
          <w:rFonts w:ascii="方正仿宋_GBK"/>
          <w:color w:val="auto"/>
          <w:szCs w:val="32"/>
          <w:highlight w:val="none"/>
        </w:rPr>
      </w:pPr>
    </w:p>
    <w:p w14:paraId="5E5D0A11">
      <w:pPr>
        <w:spacing w:line="560" w:lineRule="exact"/>
        <w:rPr>
          <w:rFonts w:ascii="宋体" w:hAnsi="宋体" w:cs="宋体"/>
          <w:color w:val="auto"/>
          <w:szCs w:val="32"/>
          <w:highlight w:val="none"/>
        </w:rPr>
      </w:pPr>
      <w:r>
        <w:rPr>
          <w:rFonts w:hint="eastAsia" w:ascii="宋体" w:hAnsi="宋体" w:cs="宋体"/>
          <w:color w:val="auto"/>
          <w:szCs w:val="32"/>
          <w:highlight w:val="none"/>
        </w:rPr>
        <w:t>承诺主体名称：</w:t>
      </w:r>
    </w:p>
    <w:p w14:paraId="5FDF2C08">
      <w:pPr>
        <w:spacing w:line="560" w:lineRule="exact"/>
        <w:rPr>
          <w:rFonts w:ascii="宋体" w:hAnsi="宋体" w:cs="宋体"/>
          <w:color w:val="auto"/>
          <w:szCs w:val="32"/>
          <w:highlight w:val="none"/>
        </w:rPr>
      </w:pPr>
      <w:r>
        <w:rPr>
          <w:rFonts w:hint="eastAsia" w:ascii="宋体" w:hAnsi="宋体" w:cs="宋体"/>
          <w:color w:val="auto"/>
          <w:szCs w:val="32"/>
          <w:highlight w:val="none"/>
        </w:rPr>
        <w:t>统一社会信用代码：</w:t>
      </w:r>
    </w:p>
    <w:p w14:paraId="4DC1EB19">
      <w:pPr>
        <w:spacing w:line="560" w:lineRule="exact"/>
        <w:rPr>
          <w:rFonts w:ascii="宋体" w:hAnsi="宋体" w:cs="宋体"/>
          <w:color w:val="auto"/>
          <w:szCs w:val="32"/>
          <w:highlight w:val="none"/>
        </w:rPr>
      </w:pPr>
    </w:p>
    <w:p w14:paraId="6CFC9A24">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为维护公平竞争、规范有序的市场秩序，营造诚实守信的信用环境，共同推进社会信用体系建设完善，树立企业诚信守法形象，本企业对________________________项目采购活动郑重承诺如下:</w:t>
      </w:r>
    </w:p>
    <w:p w14:paraId="6212F89E">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一、对提供给注册登记部门、行业管理部门、司法部门、行业组织以及在采购活动中提交的所有资料的合法性、真实性、准确性和有效性负责；</w:t>
      </w:r>
    </w:p>
    <w:p w14:paraId="57FA5FBF">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二、严格按照国家法律、法规和规章开展采购活动，全面履行应尽的责任和义务，全面做到履约守信，具备《中华人民共和国政府采购法》第二十二条第一款规定的条件;</w:t>
      </w:r>
    </w:p>
    <w:p w14:paraId="4FB82EAD">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三、严格依法开展生产经营活动，主动接受行业监管，自愿接受依法开展的日常检查；违法失信经营后将自愿接受约束和惩戒，并依法承担相应责任；</w:t>
      </w:r>
    </w:p>
    <w:p w14:paraId="160D6627">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四、自觉接受行政管理部门、行业组织、社会公众、新闻舆论的监督；</w:t>
      </w:r>
    </w:p>
    <w:p w14:paraId="593774C2">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五、自觉做到自我约束、自我管理，不制假售假、商标侵权、虚假宣传、违约毁约、恶意逃债、偷税漏税、垄断和不正当竞争，维护经营者、消费者的合法权益；</w:t>
      </w:r>
    </w:p>
    <w:p w14:paraId="6630F682">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六、提出采购质疑和投诉坚持依法依规、诚实信用原则，在全国范围12个月内没有三次以上查无实据的采购投诉；</w:t>
      </w:r>
    </w:p>
    <w:p w14:paraId="1117596B">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七、严格遵守信用信息公示相关规定，向社会公示信用信息；</w:t>
      </w:r>
    </w:p>
    <w:p w14:paraId="6FF701BA">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八、在“信用中国”和“中国政府采购网”网站中无违法违规、较重或严重失信记录；</w:t>
      </w:r>
    </w:p>
    <w:p w14:paraId="0D1E6003">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九、如违反承诺，自愿接受管理部门依法给予的行政处罚，同意将违反承诺的行为作为不良记录记入信用档案，依法依规进行信息公示，并承担所产生的一切法律责任和经济损失。</w:t>
      </w:r>
    </w:p>
    <w:p w14:paraId="1CDB700E">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十、本承诺书自签订之日起生效。</w:t>
      </w:r>
    </w:p>
    <w:p w14:paraId="060157FD">
      <w:pPr>
        <w:spacing w:line="560" w:lineRule="exact"/>
        <w:ind w:firstLine="420" w:firstLineChars="200"/>
        <w:rPr>
          <w:rFonts w:ascii="宋体" w:hAnsi="宋体" w:cs="宋体"/>
          <w:color w:val="auto"/>
          <w:szCs w:val="32"/>
          <w:highlight w:val="none"/>
        </w:rPr>
      </w:pPr>
      <w:r>
        <w:rPr>
          <w:rFonts w:hint="eastAsia" w:ascii="宋体" w:hAnsi="宋体" w:cs="宋体"/>
          <w:color w:val="auto"/>
          <w:szCs w:val="32"/>
          <w:highlight w:val="none"/>
        </w:rPr>
        <w:t> （注：法定代表人或负责人、主体名称发生变更的应当重新做出承诺。）</w:t>
      </w:r>
    </w:p>
    <w:p w14:paraId="154F3D52">
      <w:pPr>
        <w:spacing w:line="560" w:lineRule="exact"/>
        <w:rPr>
          <w:rFonts w:ascii="宋体" w:hAnsi="宋体" w:cs="宋体"/>
          <w:color w:val="auto"/>
          <w:szCs w:val="32"/>
          <w:highlight w:val="none"/>
        </w:rPr>
      </w:pPr>
    </w:p>
    <w:p w14:paraId="6C149F63">
      <w:pP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xml:space="preserve">　　　　　　　　　　        承诺单位（签章）：           </w:t>
      </w:r>
    </w:p>
    <w:p w14:paraId="3326D646">
      <w:pP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法定代表人（负责人）：</w:t>
      </w:r>
    </w:p>
    <w:p w14:paraId="69A3F935">
      <w:pPr>
        <w:jc w:val="center"/>
        <w:rPr>
          <w:rFonts w:ascii="宋体" w:hAnsi="宋体" w:cs="宋体"/>
          <w:color w:val="auto"/>
          <w:szCs w:val="32"/>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color w:val="auto"/>
          <w:szCs w:val="32"/>
          <w:highlight w:val="none"/>
        </w:rPr>
        <w:t>　　　　　　　　　      　年    月    日</w:t>
      </w:r>
    </w:p>
    <w:p w14:paraId="188054B6">
      <w:pPr>
        <w:spacing w:line="360" w:lineRule="auto"/>
        <w:jc w:val="center"/>
        <w:rPr>
          <w:rFonts w:ascii="宋体" w:hAnsi="宋体"/>
          <w:b/>
          <w:bCs/>
          <w:color w:val="auto"/>
          <w:szCs w:val="21"/>
          <w:highlight w:val="none"/>
        </w:rPr>
      </w:pPr>
      <w:r>
        <w:rPr>
          <w:rFonts w:hint="eastAsia" w:ascii="宋体" w:hAnsi="宋体"/>
          <w:b/>
          <w:bCs/>
          <w:color w:val="auto"/>
          <w:szCs w:val="21"/>
          <w:highlight w:val="none"/>
        </w:rPr>
        <w:t>资 格 声 明</w:t>
      </w:r>
    </w:p>
    <w:p w14:paraId="2C8896EC">
      <w:pPr>
        <w:spacing w:line="360" w:lineRule="auto"/>
        <w:rPr>
          <w:rFonts w:ascii="宋体" w:hAnsi="宋体"/>
          <w:color w:val="auto"/>
          <w:szCs w:val="21"/>
          <w:highlight w:val="none"/>
        </w:rPr>
      </w:pPr>
      <w:r>
        <w:rPr>
          <w:rFonts w:hint="eastAsia" w:ascii="宋体" w:hAnsi="宋体"/>
          <w:color w:val="auto"/>
          <w:szCs w:val="21"/>
          <w:highlight w:val="none"/>
        </w:rPr>
        <w:t>1、名称及其它情况：</w:t>
      </w:r>
    </w:p>
    <w:p w14:paraId="499B8586">
      <w:pPr>
        <w:spacing w:line="360" w:lineRule="auto"/>
        <w:rPr>
          <w:rFonts w:ascii="宋体" w:hAnsi="宋体"/>
          <w:color w:val="auto"/>
          <w:szCs w:val="21"/>
          <w:highlight w:val="none"/>
        </w:rPr>
      </w:pPr>
      <w:r>
        <w:rPr>
          <w:rFonts w:hint="eastAsia" w:ascii="宋体" w:hAnsi="宋体"/>
          <w:color w:val="auto"/>
          <w:szCs w:val="21"/>
          <w:highlight w:val="none"/>
        </w:rPr>
        <w:t>（1）供应商名称：</w:t>
      </w:r>
    </w:p>
    <w:p w14:paraId="20ABF632">
      <w:pPr>
        <w:tabs>
          <w:tab w:val="left" w:pos="4530"/>
        </w:tabs>
        <w:spacing w:line="360" w:lineRule="auto"/>
        <w:rPr>
          <w:rFonts w:ascii="宋体" w:hAnsi="宋体"/>
          <w:color w:val="auto"/>
          <w:szCs w:val="21"/>
          <w:highlight w:val="none"/>
        </w:rPr>
      </w:pPr>
      <w:r>
        <w:rPr>
          <w:rFonts w:hint="eastAsia" w:ascii="宋体" w:hAnsi="宋体"/>
          <w:color w:val="auto"/>
          <w:szCs w:val="21"/>
          <w:highlight w:val="none"/>
        </w:rPr>
        <w:t>（2）地址：</w:t>
      </w:r>
      <w:r>
        <w:rPr>
          <w:rFonts w:hint="eastAsia" w:ascii="宋体" w:hAnsi="宋体"/>
          <w:color w:val="auto"/>
          <w:szCs w:val="21"/>
          <w:highlight w:val="none"/>
        </w:rPr>
        <w:tab/>
      </w:r>
      <w:r>
        <w:rPr>
          <w:rFonts w:hint="eastAsia" w:ascii="宋体" w:hAnsi="宋体"/>
          <w:color w:val="auto"/>
          <w:szCs w:val="21"/>
          <w:highlight w:val="none"/>
        </w:rPr>
        <w:t>邮编：</w:t>
      </w:r>
    </w:p>
    <w:p w14:paraId="3CD72DE6">
      <w:pPr>
        <w:tabs>
          <w:tab w:val="left" w:pos="600"/>
          <w:tab w:val="left" w:pos="4320"/>
        </w:tabs>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电话：     传真：</w:t>
      </w:r>
    </w:p>
    <w:p w14:paraId="30FC4CF7">
      <w:pPr>
        <w:spacing w:line="360" w:lineRule="auto"/>
        <w:rPr>
          <w:rFonts w:ascii="宋体" w:hAnsi="宋体"/>
          <w:color w:val="auto"/>
          <w:szCs w:val="21"/>
          <w:highlight w:val="none"/>
          <w:u w:val="single"/>
        </w:rPr>
      </w:pPr>
      <w:r>
        <w:rPr>
          <w:rFonts w:hint="eastAsia" w:ascii="宋体" w:hAnsi="宋体"/>
          <w:color w:val="auto"/>
          <w:szCs w:val="21"/>
          <w:highlight w:val="none"/>
        </w:rPr>
        <w:t>（3）成立和/或注册日期：</w:t>
      </w:r>
    </w:p>
    <w:p w14:paraId="77D50976">
      <w:pPr>
        <w:spacing w:line="360" w:lineRule="auto"/>
        <w:rPr>
          <w:rFonts w:ascii="宋体" w:hAnsi="宋体"/>
          <w:color w:val="auto"/>
          <w:szCs w:val="21"/>
          <w:highlight w:val="none"/>
        </w:rPr>
      </w:pPr>
      <w:r>
        <w:rPr>
          <w:rFonts w:hint="eastAsia" w:ascii="宋体" w:hAnsi="宋体"/>
          <w:color w:val="auto"/>
          <w:szCs w:val="21"/>
          <w:highlight w:val="none"/>
        </w:rPr>
        <w:t>（4）法定代表人：</w:t>
      </w:r>
    </w:p>
    <w:p w14:paraId="656B785C">
      <w:pPr>
        <w:spacing w:line="360" w:lineRule="auto"/>
        <w:rPr>
          <w:rFonts w:ascii="宋体" w:hAnsi="宋体"/>
          <w:color w:val="auto"/>
          <w:szCs w:val="21"/>
          <w:highlight w:val="none"/>
          <w:u w:val="single"/>
        </w:rPr>
      </w:pPr>
      <w:r>
        <w:rPr>
          <w:rFonts w:hint="eastAsia" w:ascii="宋体" w:hAnsi="宋体"/>
          <w:color w:val="auto"/>
          <w:szCs w:val="21"/>
          <w:highlight w:val="none"/>
        </w:rPr>
        <w:t>（5）实收资本：</w:t>
      </w:r>
    </w:p>
    <w:p w14:paraId="6841D7B6">
      <w:pPr>
        <w:spacing w:line="360" w:lineRule="auto"/>
        <w:rPr>
          <w:rFonts w:ascii="宋体" w:hAnsi="宋体"/>
          <w:color w:val="auto"/>
          <w:szCs w:val="21"/>
          <w:highlight w:val="none"/>
        </w:rPr>
      </w:pPr>
      <w:r>
        <w:rPr>
          <w:rFonts w:hint="eastAsia" w:ascii="宋体" w:hAnsi="宋体"/>
          <w:color w:val="auto"/>
          <w:szCs w:val="21"/>
          <w:highlight w:val="none"/>
        </w:rPr>
        <w:t>（6）近期资产负债表：（到</w:t>
      </w:r>
      <w:r>
        <w:rPr>
          <w:rFonts w:hint="eastAsia" w:ascii="宋体" w:hAnsi="宋体"/>
          <w:color w:val="auto"/>
          <w:szCs w:val="21"/>
          <w:highlight w:val="none"/>
          <w:u w:val="single"/>
        </w:rPr>
        <w:t>20  年12月31日</w:t>
      </w:r>
      <w:r>
        <w:rPr>
          <w:rFonts w:hint="eastAsia" w:ascii="宋体" w:hAnsi="宋体"/>
          <w:color w:val="auto"/>
          <w:szCs w:val="21"/>
          <w:highlight w:val="none"/>
        </w:rPr>
        <w:t>）</w:t>
      </w:r>
    </w:p>
    <w:p w14:paraId="1496CF15">
      <w:pPr>
        <w:spacing w:line="360" w:lineRule="auto"/>
        <w:ind w:firstLine="240"/>
        <w:rPr>
          <w:rFonts w:ascii="宋体" w:hAnsi="宋体"/>
          <w:color w:val="auto"/>
          <w:szCs w:val="21"/>
          <w:highlight w:val="none"/>
        </w:rPr>
      </w:pPr>
      <w:r>
        <w:rPr>
          <w:rFonts w:hint="eastAsia" w:ascii="宋体" w:hAnsi="宋体"/>
          <w:color w:val="auto"/>
          <w:szCs w:val="21"/>
          <w:highlight w:val="none"/>
        </w:rPr>
        <w:t>&lt;1&gt; 固定资产：</w:t>
      </w:r>
    </w:p>
    <w:p w14:paraId="5C9A7955">
      <w:pPr>
        <w:spacing w:line="360" w:lineRule="auto"/>
        <w:ind w:firstLine="240"/>
        <w:rPr>
          <w:rFonts w:ascii="宋体" w:hAnsi="宋体"/>
          <w:color w:val="auto"/>
          <w:szCs w:val="21"/>
          <w:highlight w:val="none"/>
        </w:rPr>
      </w:pPr>
      <w:r>
        <w:rPr>
          <w:rFonts w:hint="eastAsia" w:ascii="宋体" w:hAnsi="宋体"/>
          <w:color w:val="auto"/>
          <w:szCs w:val="21"/>
          <w:highlight w:val="none"/>
        </w:rPr>
        <w:t>&lt;2&gt; 流动资金：</w:t>
      </w:r>
    </w:p>
    <w:p w14:paraId="12C96CAA">
      <w:pPr>
        <w:spacing w:line="360" w:lineRule="auto"/>
        <w:ind w:firstLine="240"/>
        <w:rPr>
          <w:rFonts w:ascii="宋体" w:hAnsi="宋体"/>
          <w:color w:val="auto"/>
          <w:szCs w:val="21"/>
          <w:highlight w:val="none"/>
        </w:rPr>
      </w:pPr>
      <w:r>
        <w:rPr>
          <w:rFonts w:hint="eastAsia" w:ascii="宋体" w:hAnsi="宋体"/>
          <w:color w:val="auto"/>
          <w:szCs w:val="21"/>
          <w:highlight w:val="none"/>
        </w:rPr>
        <w:t>&lt;3&gt; 长期负债：</w:t>
      </w:r>
    </w:p>
    <w:p w14:paraId="5D6D5A22">
      <w:pPr>
        <w:spacing w:line="360" w:lineRule="auto"/>
        <w:ind w:firstLine="240"/>
        <w:rPr>
          <w:rFonts w:ascii="宋体" w:hAnsi="宋体"/>
          <w:color w:val="auto"/>
          <w:szCs w:val="21"/>
          <w:highlight w:val="none"/>
        </w:rPr>
      </w:pPr>
      <w:r>
        <w:rPr>
          <w:rFonts w:hint="eastAsia" w:ascii="宋体" w:hAnsi="宋体"/>
          <w:color w:val="auto"/>
          <w:szCs w:val="21"/>
          <w:highlight w:val="none"/>
        </w:rPr>
        <w:t>&lt;4&gt; 短期负债：</w:t>
      </w:r>
    </w:p>
    <w:p w14:paraId="3A42C48B">
      <w:pPr>
        <w:spacing w:line="360" w:lineRule="auto"/>
        <w:rPr>
          <w:rFonts w:ascii="宋体" w:hAnsi="宋体"/>
          <w:color w:val="auto"/>
          <w:szCs w:val="21"/>
          <w:highlight w:val="none"/>
        </w:rPr>
      </w:pPr>
      <w:r>
        <w:rPr>
          <w:rFonts w:hint="eastAsia" w:ascii="宋体" w:hAnsi="宋体"/>
          <w:color w:val="auto"/>
          <w:szCs w:val="21"/>
          <w:highlight w:val="none"/>
        </w:rPr>
        <w:t>2、近三年同类货物和服务的主要销售业绩（无有效联系人、联系方式和合同复印件的视为未填报本项目）：</w:t>
      </w:r>
    </w:p>
    <w:tbl>
      <w:tblPr>
        <w:tblStyle w:val="26"/>
        <w:tblW w:w="8522" w:type="dxa"/>
        <w:tblInd w:w="-108" w:type="dxa"/>
        <w:tblLayout w:type="fixed"/>
        <w:tblCellMar>
          <w:top w:w="0" w:type="dxa"/>
          <w:left w:w="108" w:type="dxa"/>
          <w:bottom w:w="0" w:type="dxa"/>
          <w:right w:w="108" w:type="dxa"/>
        </w:tblCellMar>
      </w:tblPr>
      <w:tblGrid>
        <w:gridCol w:w="4271"/>
        <w:gridCol w:w="4251"/>
      </w:tblGrid>
      <w:tr w14:paraId="6F3B3046">
        <w:tblPrEx>
          <w:tblCellMar>
            <w:top w:w="0" w:type="dxa"/>
            <w:left w:w="108" w:type="dxa"/>
            <w:bottom w:w="0" w:type="dxa"/>
            <w:right w:w="108" w:type="dxa"/>
          </w:tblCellMar>
        </w:tblPrEx>
        <w:tc>
          <w:tcPr>
            <w:tcW w:w="4271" w:type="dxa"/>
            <w:tcBorders>
              <w:top w:val="nil"/>
              <w:left w:val="nil"/>
              <w:bottom w:val="nil"/>
              <w:right w:val="nil"/>
            </w:tcBorders>
          </w:tcPr>
          <w:p w14:paraId="3E1C1FB4">
            <w:pPr>
              <w:spacing w:after="0" w:line="360" w:lineRule="auto"/>
              <w:jc w:val="center"/>
              <w:rPr>
                <w:rFonts w:ascii="宋体" w:hAnsi="宋体"/>
                <w:color w:val="auto"/>
                <w:szCs w:val="21"/>
                <w:highlight w:val="none"/>
                <w:u w:val="single"/>
              </w:rPr>
            </w:pPr>
            <w:r>
              <w:rPr>
                <w:rFonts w:hint="eastAsia" w:ascii="宋体" w:hAnsi="宋体"/>
                <w:color w:val="auto"/>
                <w:szCs w:val="21"/>
                <w:highlight w:val="none"/>
                <w:u w:val="single"/>
              </w:rPr>
              <w:t>甲方名称、联系人、联系方式</w:t>
            </w:r>
          </w:p>
        </w:tc>
        <w:tc>
          <w:tcPr>
            <w:tcW w:w="4251" w:type="dxa"/>
            <w:tcBorders>
              <w:top w:val="nil"/>
              <w:left w:val="nil"/>
              <w:bottom w:val="nil"/>
              <w:right w:val="nil"/>
            </w:tcBorders>
          </w:tcPr>
          <w:p w14:paraId="467E32C5">
            <w:pPr>
              <w:spacing w:after="0" w:line="360" w:lineRule="auto"/>
              <w:jc w:val="center"/>
              <w:rPr>
                <w:rFonts w:ascii="宋体" w:hAnsi="宋体"/>
                <w:color w:val="auto"/>
                <w:szCs w:val="21"/>
                <w:highlight w:val="none"/>
                <w:u w:val="single"/>
              </w:rPr>
            </w:pPr>
            <w:r>
              <w:rPr>
                <w:rFonts w:hint="eastAsia" w:ascii="宋体" w:hAnsi="宋体"/>
                <w:color w:val="auto"/>
                <w:szCs w:val="21"/>
                <w:highlight w:val="none"/>
                <w:u w:val="single"/>
              </w:rPr>
              <w:t>项   目   名   称</w:t>
            </w:r>
          </w:p>
        </w:tc>
      </w:tr>
      <w:tr w14:paraId="669F841A">
        <w:tblPrEx>
          <w:tblCellMar>
            <w:top w:w="0" w:type="dxa"/>
            <w:left w:w="108" w:type="dxa"/>
            <w:bottom w:w="0" w:type="dxa"/>
            <w:right w:w="108" w:type="dxa"/>
          </w:tblCellMar>
        </w:tblPrEx>
        <w:tc>
          <w:tcPr>
            <w:tcW w:w="4271" w:type="dxa"/>
            <w:tcBorders>
              <w:top w:val="nil"/>
              <w:left w:val="nil"/>
              <w:bottom w:val="nil"/>
              <w:right w:val="nil"/>
            </w:tcBorders>
          </w:tcPr>
          <w:p w14:paraId="6F31134D">
            <w:pPr>
              <w:spacing w:after="0" w:line="360" w:lineRule="auto"/>
              <w:rPr>
                <w:rFonts w:ascii="宋体" w:hAnsi="宋体"/>
                <w:color w:val="auto"/>
                <w:szCs w:val="21"/>
                <w:highlight w:val="none"/>
              </w:rPr>
            </w:pPr>
          </w:p>
        </w:tc>
        <w:tc>
          <w:tcPr>
            <w:tcW w:w="4251" w:type="dxa"/>
            <w:tcBorders>
              <w:top w:val="nil"/>
              <w:left w:val="nil"/>
              <w:bottom w:val="nil"/>
              <w:right w:val="nil"/>
            </w:tcBorders>
          </w:tcPr>
          <w:p w14:paraId="4A21096B">
            <w:pPr>
              <w:spacing w:after="0" w:line="360" w:lineRule="auto"/>
              <w:rPr>
                <w:rFonts w:ascii="宋体" w:hAnsi="宋体"/>
                <w:color w:val="auto"/>
                <w:szCs w:val="21"/>
                <w:highlight w:val="none"/>
              </w:rPr>
            </w:pPr>
          </w:p>
        </w:tc>
      </w:tr>
      <w:tr w14:paraId="3DDEF38C">
        <w:tblPrEx>
          <w:tblCellMar>
            <w:top w:w="0" w:type="dxa"/>
            <w:left w:w="108" w:type="dxa"/>
            <w:bottom w:w="0" w:type="dxa"/>
            <w:right w:w="108" w:type="dxa"/>
          </w:tblCellMar>
        </w:tblPrEx>
        <w:tc>
          <w:tcPr>
            <w:tcW w:w="4271" w:type="dxa"/>
            <w:tcBorders>
              <w:top w:val="nil"/>
              <w:left w:val="nil"/>
              <w:bottom w:val="nil"/>
              <w:right w:val="nil"/>
            </w:tcBorders>
          </w:tcPr>
          <w:p w14:paraId="0CA877F2">
            <w:pPr>
              <w:spacing w:after="0" w:line="360" w:lineRule="auto"/>
              <w:rPr>
                <w:rFonts w:ascii="宋体" w:hAnsi="宋体"/>
                <w:color w:val="auto"/>
                <w:szCs w:val="21"/>
                <w:highlight w:val="none"/>
              </w:rPr>
            </w:pPr>
          </w:p>
        </w:tc>
        <w:tc>
          <w:tcPr>
            <w:tcW w:w="4251" w:type="dxa"/>
            <w:tcBorders>
              <w:top w:val="nil"/>
              <w:left w:val="nil"/>
              <w:bottom w:val="nil"/>
              <w:right w:val="nil"/>
            </w:tcBorders>
          </w:tcPr>
          <w:p w14:paraId="0AE04EF4">
            <w:pPr>
              <w:spacing w:after="0" w:line="360" w:lineRule="auto"/>
              <w:rPr>
                <w:rFonts w:ascii="宋体" w:hAnsi="宋体"/>
                <w:color w:val="auto"/>
                <w:szCs w:val="21"/>
                <w:highlight w:val="none"/>
              </w:rPr>
            </w:pPr>
          </w:p>
        </w:tc>
      </w:tr>
    </w:tbl>
    <w:p w14:paraId="76968C14">
      <w:pPr>
        <w:spacing w:line="360" w:lineRule="auto"/>
        <w:rPr>
          <w:rFonts w:ascii="宋体" w:hAnsi="宋体"/>
          <w:color w:val="auto"/>
          <w:szCs w:val="21"/>
          <w:highlight w:val="none"/>
        </w:rPr>
      </w:pPr>
    </w:p>
    <w:p w14:paraId="30D28E74">
      <w:pPr>
        <w:spacing w:line="360" w:lineRule="auto"/>
        <w:rPr>
          <w:rFonts w:ascii="宋体" w:hAnsi="宋体"/>
          <w:color w:val="auto"/>
          <w:szCs w:val="21"/>
          <w:highlight w:val="none"/>
        </w:rPr>
      </w:pPr>
    </w:p>
    <w:p w14:paraId="453988A1">
      <w:pPr>
        <w:spacing w:line="360" w:lineRule="auto"/>
        <w:ind w:left="410" w:hanging="410"/>
        <w:rPr>
          <w:rFonts w:ascii="宋体" w:hAnsi="宋体"/>
          <w:color w:val="auto"/>
          <w:szCs w:val="21"/>
          <w:highlight w:val="none"/>
        </w:rPr>
      </w:pPr>
      <w:r>
        <w:rPr>
          <w:rFonts w:hint="eastAsia" w:ascii="宋体" w:hAnsi="宋体"/>
          <w:color w:val="auto"/>
          <w:szCs w:val="21"/>
          <w:highlight w:val="none"/>
        </w:rPr>
        <w:t>3、本次采购要求的其他资格文件以及供应商认为需要声明的其他情况：</w:t>
      </w:r>
    </w:p>
    <w:p w14:paraId="4C1B370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兹证明上述声明是真实的、正确的，并提供了全部能提供的资料和数据，我们同意遵照贵方要求出示有关证明文件，如有虚假，自愿丧失成交资格，一年内退出扬州采购市场。</w:t>
      </w:r>
    </w:p>
    <w:p w14:paraId="200AEAF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供应商公章：</w:t>
      </w:r>
    </w:p>
    <w:p w14:paraId="023BC8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法定代表人或授权代表签字：</w:t>
      </w:r>
    </w:p>
    <w:p w14:paraId="3762AA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日期：年月日        </w:t>
      </w:r>
    </w:p>
    <w:p w14:paraId="495D5944">
      <w:pPr>
        <w:spacing w:line="360" w:lineRule="auto"/>
        <w:jc w:val="center"/>
        <w:rPr>
          <w:rFonts w:ascii="宋体" w:hAnsi="宋体"/>
          <w:b/>
          <w:bCs/>
          <w:color w:val="auto"/>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b/>
          <w:bCs/>
          <w:color w:val="auto"/>
          <w:szCs w:val="21"/>
          <w:highlight w:val="none"/>
        </w:rPr>
        <w:t>（注：资格声明为格式文件,实质性内容请勿修改，否则将导致响应文件无效）</w:t>
      </w:r>
    </w:p>
    <w:p w14:paraId="4DA7E623">
      <w:pPr>
        <w:spacing w:line="360" w:lineRule="auto"/>
        <w:jc w:val="center"/>
        <w:rPr>
          <w:rFonts w:ascii="宋体" w:hAnsi="宋体"/>
          <w:b/>
          <w:color w:val="auto"/>
          <w:szCs w:val="21"/>
          <w:highlight w:val="none"/>
        </w:rPr>
      </w:pPr>
      <w:r>
        <w:rPr>
          <w:rFonts w:hint="eastAsia" w:ascii="宋体" w:hAnsi="宋体"/>
          <w:b/>
          <w:color w:val="auto"/>
          <w:szCs w:val="21"/>
          <w:highlight w:val="none"/>
        </w:rPr>
        <w:t>三、谈判响应函</w:t>
      </w:r>
    </w:p>
    <w:p w14:paraId="10C0FCAC">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致：江苏苏维工程管理有限成交供应商</w:t>
      </w:r>
    </w:p>
    <w:p w14:paraId="7C902551">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根据贵方的号谈判文件，正式授权下述签字人_________ (姓名和职务)代表我方______________（供应商的名称），全权处理本次项目谈判采购的有关事宜。</w:t>
      </w:r>
    </w:p>
    <w:p w14:paraId="6E3033E4">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据此函，__________（签字人）兹宣布同意如下：</w:t>
      </w:r>
    </w:p>
    <w:p w14:paraId="4519DA70">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1.按谈判文件规定的各项要求，向买方提供所需服务。</w:t>
      </w:r>
    </w:p>
    <w:p w14:paraId="19D46F40">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2.我们已详细审核全部谈判文件及其有效补充文件，我们知道必须放弃提出含糊不清或误解问题的权利。</w:t>
      </w:r>
    </w:p>
    <w:p w14:paraId="02D8F1B4">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3.我们同意从规定的响应文件接收截止时间起遵循本响应文件，并在规定的谈判有效期期满之前均具有约束力。</w:t>
      </w:r>
    </w:p>
    <w:p w14:paraId="7E1F28F5">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4.同意向贵方提供贵方可能另外要求的与谈判采购有关的任何证据或资料，并保证我方已提供和将要提供的文件是真实的、准确的。</w:t>
      </w:r>
    </w:p>
    <w:p w14:paraId="6F0FA2F5">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5.一旦我方成交，我方将根据谈判文件的规定，严格履行合同的责任和义务，并保证在谈判文件规定的时间完成项目，交付买方验收、使用。</w:t>
      </w:r>
    </w:p>
    <w:p w14:paraId="67A3764A">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6.遵守谈判文件中要求的收费项目和标准。</w:t>
      </w:r>
    </w:p>
    <w:p w14:paraId="5D1DFEEF">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7.与本谈判采购有关的正式通讯地址为：</w:t>
      </w:r>
    </w:p>
    <w:p w14:paraId="42837BA1">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地 址：                         邮 编：</w:t>
      </w:r>
    </w:p>
    <w:p w14:paraId="41DD3725">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电 话：                         传 真：</w:t>
      </w:r>
    </w:p>
    <w:p w14:paraId="052D7E26">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供应商开户行：                  账 户： </w:t>
      </w:r>
    </w:p>
    <w:p w14:paraId="28731EC9">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法定代表人或授权代表姓名（签字）：     联系电话：</w:t>
      </w:r>
    </w:p>
    <w:p w14:paraId="7B5E0125">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 xml:space="preserve">供应商名称（公章）：            </w:t>
      </w:r>
    </w:p>
    <w:p w14:paraId="78F533DC">
      <w:pPr>
        <w:pStyle w:val="59"/>
        <w:tabs>
          <w:tab w:val="clear" w:pos="360"/>
        </w:tabs>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日 期：________年____月____日</w:t>
      </w:r>
    </w:p>
    <w:p w14:paraId="7982BF37">
      <w:pPr>
        <w:pStyle w:val="2"/>
        <w:ind w:firstLine="0" w:firstLineChars="0"/>
        <w:rPr>
          <w:b/>
          <w:color w:val="auto"/>
          <w:szCs w:val="21"/>
          <w:highlight w:val="none"/>
        </w:rPr>
      </w:pPr>
    </w:p>
    <w:p w14:paraId="4B7EBC76">
      <w:pPr>
        <w:rPr>
          <w:color w:val="auto"/>
          <w:highlight w:val="none"/>
        </w:rPr>
      </w:pPr>
    </w:p>
    <w:p w14:paraId="58757080">
      <w:pPr>
        <w:spacing w:before="50" w:after="156" w:line="360" w:lineRule="auto"/>
        <w:jc w:val="center"/>
        <w:rPr>
          <w:b/>
          <w:color w:val="auto"/>
          <w:szCs w:val="21"/>
          <w:highlight w:val="none"/>
        </w:rPr>
      </w:pPr>
      <w:r>
        <w:rPr>
          <w:rFonts w:hint="eastAsia"/>
          <w:b/>
          <w:color w:val="auto"/>
          <w:szCs w:val="21"/>
          <w:highlight w:val="none"/>
        </w:rPr>
        <w:t>四、谈判响应报价表（第一轮报价）</w:t>
      </w:r>
    </w:p>
    <w:p w14:paraId="30935B9B">
      <w:pPr>
        <w:spacing w:line="360" w:lineRule="auto"/>
        <w:rPr>
          <w:color w:val="auto"/>
          <w:szCs w:val="21"/>
          <w:highlight w:val="none"/>
        </w:rPr>
      </w:pPr>
    </w:p>
    <w:p w14:paraId="5F5C8955">
      <w:pPr>
        <w:pStyle w:val="14"/>
        <w:spacing w:line="360" w:lineRule="auto"/>
        <w:rPr>
          <w:color w:val="auto"/>
          <w:sz w:val="21"/>
          <w:szCs w:val="21"/>
          <w:highlight w:val="none"/>
        </w:rPr>
      </w:pPr>
      <w:r>
        <w:rPr>
          <w:rFonts w:hint="eastAsia"/>
          <w:color w:val="auto"/>
          <w:sz w:val="21"/>
          <w:szCs w:val="21"/>
          <w:highlight w:val="none"/>
        </w:rPr>
        <w:t xml:space="preserve">项目名称： </w:t>
      </w:r>
    </w:p>
    <w:p w14:paraId="68A77B6D">
      <w:pPr>
        <w:spacing w:line="360" w:lineRule="auto"/>
        <w:rPr>
          <w:color w:val="auto"/>
          <w:szCs w:val="21"/>
          <w:highlight w:val="none"/>
        </w:rPr>
      </w:pPr>
      <w:r>
        <w:rPr>
          <w:rFonts w:hint="eastAsia"/>
          <w:color w:val="auto"/>
          <w:szCs w:val="21"/>
          <w:highlight w:val="none"/>
        </w:rPr>
        <w:t>项目编号：</w:t>
      </w:r>
    </w:p>
    <w:p w14:paraId="31BB5CC8">
      <w:pPr>
        <w:spacing w:line="360" w:lineRule="auto"/>
        <w:rPr>
          <w:color w:val="auto"/>
          <w:szCs w:val="21"/>
          <w:highlight w:val="none"/>
        </w:rPr>
      </w:pPr>
    </w:p>
    <w:tbl>
      <w:tblPr>
        <w:tblStyle w:val="26"/>
        <w:tblW w:w="8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6"/>
        <w:gridCol w:w="5967"/>
      </w:tblGrid>
      <w:tr w14:paraId="3B25E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98" w:hRule="atLeast"/>
          <w:jc w:val="center"/>
        </w:trPr>
        <w:tc>
          <w:tcPr>
            <w:tcW w:w="2636" w:type="dxa"/>
            <w:tcBorders>
              <w:top w:val="single" w:color="auto" w:sz="4" w:space="0"/>
              <w:left w:val="single" w:color="auto" w:sz="4" w:space="0"/>
              <w:bottom w:val="single" w:color="auto" w:sz="4" w:space="0"/>
              <w:right w:val="single" w:color="auto" w:sz="4" w:space="0"/>
            </w:tcBorders>
            <w:vAlign w:val="center"/>
          </w:tcPr>
          <w:p w14:paraId="0E1E034F">
            <w:pPr>
              <w:pStyle w:val="11"/>
              <w:spacing w:after="0" w:line="300" w:lineRule="auto"/>
              <w:rPr>
                <w:rFonts w:ascii="宋体" w:hAnsi="宋体" w:eastAsia="宋体"/>
                <w:color w:val="auto"/>
                <w:kern w:val="2"/>
                <w:sz w:val="21"/>
                <w:szCs w:val="21"/>
                <w:highlight w:val="none"/>
              </w:rPr>
            </w:pPr>
            <w:r>
              <w:rPr>
                <w:rFonts w:ascii="宋体" w:hAnsi="宋体" w:eastAsia="宋体"/>
                <w:color w:val="auto"/>
                <w:kern w:val="2"/>
                <w:sz w:val="21"/>
                <w:szCs w:val="21"/>
                <w:highlight w:val="none"/>
              </w:rPr>
              <w:t xml:space="preserve">  服务名称</w:t>
            </w:r>
          </w:p>
        </w:tc>
        <w:tc>
          <w:tcPr>
            <w:tcW w:w="5967" w:type="dxa"/>
            <w:tcBorders>
              <w:top w:val="single" w:color="auto" w:sz="4" w:space="0"/>
              <w:left w:val="single" w:color="auto" w:sz="4" w:space="0"/>
              <w:bottom w:val="single" w:color="auto" w:sz="4" w:space="0"/>
              <w:right w:val="single" w:color="auto" w:sz="4" w:space="0"/>
            </w:tcBorders>
            <w:vAlign w:val="center"/>
          </w:tcPr>
          <w:p w14:paraId="1C869EC7">
            <w:pPr>
              <w:spacing w:after="200" w:line="220" w:lineRule="atLeast"/>
              <w:ind w:left="630" w:hanging="630" w:hangingChars="300"/>
              <w:jc w:val="center"/>
              <w:rPr>
                <w:color w:val="auto"/>
                <w:szCs w:val="21"/>
                <w:highlight w:val="none"/>
              </w:rPr>
            </w:pPr>
            <w:r>
              <w:rPr>
                <w:color w:val="auto"/>
                <w:szCs w:val="21"/>
                <w:highlight w:val="none"/>
              </w:rPr>
              <w:t>报价</w:t>
            </w:r>
          </w:p>
          <w:p w14:paraId="7C524836">
            <w:pPr>
              <w:spacing w:after="200" w:line="220" w:lineRule="atLeast"/>
              <w:ind w:left="630" w:hanging="630" w:hangingChars="300"/>
              <w:rPr>
                <w:color w:val="auto"/>
                <w:szCs w:val="21"/>
                <w:highlight w:val="none"/>
              </w:rPr>
            </w:pPr>
          </w:p>
        </w:tc>
      </w:tr>
      <w:tr w14:paraId="1A516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97" w:hRule="atLeast"/>
          <w:jc w:val="center"/>
        </w:trPr>
        <w:tc>
          <w:tcPr>
            <w:tcW w:w="2636" w:type="dxa"/>
            <w:tcBorders>
              <w:top w:val="single" w:color="auto" w:sz="4" w:space="0"/>
              <w:left w:val="single" w:color="auto" w:sz="4" w:space="0"/>
              <w:bottom w:val="single" w:color="auto" w:sz="4" w:space="0"/>
              <w:right w:val="single" w:color="auto" w:sz="4" w:space="0"/>
            </w:tcBorders>
            <w:vAlign w:val="center"/>
          </w:tcPr>
          <w:p w14:paraId="4F9FE9FA">
            <w:pPr>
              <w:pStyle w:val="11"/>
              <w:spacing w:after="0" w:line="300" w:lineRule="auto"/>
              <w:rPr>
                <w:rFonts w:ascii="宋体" w:hAnsi="宋体" w:eastAsia="宋体"/>
                <w:color w:val="auto"/>
                <w:kern w:val="2"/>
                <w:sz w:val="21"/>
                <w:szCs w:val="21"/>
                <w:highlight w:val="none"/>
              </w:rPr>
            </w:pPr>
          </w:p>
        </w:tc>
        <w:tc>
          <w:tcPr>
            <w:tcW w:w="5967" w:type="dxa"/>
            <w:tcBorders>
              <w:top w:val="single" w:color="auto" w:sz="4" w:space="0"/>
              <w:left w:val="single" w:color="auto" w:sz="4" w:space="0"/>
              <w:bottom w:val="single" w:color="auto" w:sz="4" w:space="0"/>
              <w:right w:val="single" w:color="auto" w:sz="4" w:space="0"/>
            </w:tcBorders>
            <w:vAlign w:val="center"/>
          </w:tcPr>
          <w:p w14:paraId="676A7ACA">
            <w:pPr>
              <w:pStyle w:val="11"/>
              <w:spacing w:after="0" w:line="300" w:lineRule="auto"/>
              <w:rPr>
                <w:rFonts w:ascii="宋体" w:hAnsi="宋体" w:eastAsia="宋体"/>
                <w:color w:val="auto"/>
                <w:kern w:val="2"/>
                <w:sz w:val="21"/>
                <w:szCs w:val="21"/>
                <w:highlight w:val="none"/>
                <w:u w:val="single"/>
              </w:rPr>
            </w:pPr>
            <w:r>
              <w:rPr>
                <w:rFonts w:ascii="宋体" w:hAnsi="宋体" w:eastAsia="宋体"/>
                <w:color w:val="auto"/>
                <w:kern w:val="2"/>
                <w:sz w:val="21"/>
                <w:szCs w:val="21"/>
                <w:highlight w:val="none"/>
              </w:rPr>
              <w:t>大写：</w:t>
            </w:r>
          </w:p>
          <w:p w14:paraId="22FC28AF">
            <w:pPr>
              <w:pStyle w:val="11"/>
              <w:spacing w:after="0" w:line="300" w:lineRule="auto"/>
              <w:rPr>
                <w:rFonts w:ascii="宋体" w:hAnsi="宋体" w:cs="宋体"/>
                <w:color w:val="auto"/>
                <w:kern w:val="2"/>
                <w:sz w:val="21"/>
                <w:szCs w:val="21"/>
                <w:highlight w:val="none"/>
              </w:rPr>
            </w:pPr>
            <w:r>
              <w:rPr>
                <w:rFonts w:ascii="宋体" w:hAnsi="宋体" w:eastAsia="宋体"/>
                <w:color w:val="auto"/>
                <w:kern w:val="2"/>
                <w:sz w:val="21"/>
                <w:szCs w:val="21"/>
                <w:highlight w:val="none"/>
              </w:rPr>
              <w:t>小写：</w:t>
            </w:r>
          </w:p>
        </w:tc>
      </w:tr>
      <w:tr w14:paraId="7B58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1" w:hRule="atLeast"/>
          <w:jc w:val="center"/>
        </w:trPr>
        <w:tc>
          <w:tcPr>
            <w:tcW w:w="2636" w:type="dxa"/>
            <w:tcBorders>
              <w:top w:val="single" w:color="auto" w:sz="4" w:space="0"/>
              <w:left w:val="single" w:color="auto" w:sz="4" w:space="0"/>
              <w:bottom w:val="single" w:color="auto" w:sz="4" w:space="0"/>
              <w:right w:val="single" w:color="auto" w:sz="4" w:space="0"/>
            </w:tcBorders>
            <w:vAlign w:val="center"/>
          </w:tcPr>
          <w:p w14:paraId="4DE449D8">
            <w:pPr>
              <w:pStyle w:val="11"/>
              <w:spacing w:after="0" w:line="300" w:lineRule="auto"/>
              <w:jc w:val="center"/>
              <w:rPr>
                <w:rFonts w:ascii="宋体" w:hAnsi="宋体" w:eastAsia="宋体"/>
                <w:color w:val="auto"/>
                <w:kern w:val="2"/>
                <w:sz w:val="21"/>
                <w:szCs w:val="21"/>
                <w:highlight w:val="none"/>
              </w:rPr>
            </w:pPr>
            <w:r>
              <w:rPr>
                <w:rFonts w:ascii="宋体" w:hAnsi="宋体" w:eastAsia="宋体"/>
                <w:color w:val="auto"/>
                <w:kern w:val="2"/>
                <w:sz w:val="21"/>
                <w:szCs w:val="21"/>
                <w:highlight w:val="none"/>
              </w:rPr>
              <w:t>备注</w:t>
            </w:r>
          </w:p>
        </w:tc>
        <w:tc>
          <w:tcPr>
            <w:tcW w:w="5967" w:type="dxa"/>
            <w:tcBorders>
              <w:top w:val="single" w:color="auto" w:sz="4" w:space="0"/>
              <w:left w:val="single" w:color="auto" w:sz="4" w:space="0"/>
              <w:bottom w:val="single" w:color="auto" w:sz="4" w:space="0"/>
              <w:right w:val="single" w:color="auto" w:sz="4" w:space="0"/>
            </w:tcBorders>
            <w:vAlign w:val="center"/>
          </w:tcPr>
          <w:p w14:paraId="6724C6D5">
            <w:pPr>
              <w:pStyle w:val="11"/>
              <w:spacing w:after="0" w:line="300" w:lineRule="auto"/>
              <w:ind w:firstLine="1365" w:firstLineChars="650"/>
              <w:rPr>
                <w:rFonts w:ascii="宋体" w:hAnsi="宋体" w:eastAsia="宋体"/>
                <w:color w:val="auto"/>
                <w:kern w:val="2"/>
                <w:sz w:val="21"/>
                <w:szCs w:val="21"/>
                <w:highlight w:val="none"/>
              </w:rPr>
            </w:pPr>
          </w:p>
        </w:tc>
      </w:tr>
    </w:tbl>
    <w:p w14:paraId="6AD37289">
      <w:pPr>
        <w:spacing w:line="360" w:lineRule="auto"/>
        <w:rPr>
          <w:color w:val="auto"/>
          <w:szCs w:val="21"/>
          <w:highlight w:val="none"/>
        </w:rPr>
      </w:pPr>
    </w:p>
    <w:p w14:paraId="5D1EB3AD">
      <w:pPr>
        <w:spacing w:line="360" w:lineRule="auto"/>
        <w:rPr>
          <w:color w:val="auto"/>
          <w:szCs w:val="21"/>
          <w:highlight w:val="none"/>
        </w:rPr>
      </w:pPr>
      <w:r>
        <w:rPr>
          <w:rFonts w:hint="eastAsia"/>
          <w:color w:val="auto"/>
          <w:szCs w:val="21"/>
          <w:highlight w:val="none"/>
        </w:rPr>
        <w:t xml:space="preserve">法定代表人或者授权代表（签字或盖章）：                    </w:t>
      </w:r>
    </w:p>
    <w:p w14:paraId="1AE1512D">
      <w:pPr>
        <w:spacing w:line="360" w:lineRule="auto"/>
        <w:rPr>
          <w:color w:val="auto"/>
          <w:szCs w:val="21"/>
          <w:highlight w:val="none"/>
          <w:u w:val="single"/>
        </w:rPr>
      </w:pPr>
      <w:r>
        <w:rPr>
          <w:rFonts w:hint="eastAsia"/>
          <w:color w:val="auto"/>
          <w:szCs w:val="21"/>
          <w:highlight w:val="none"/>
        </w:rPr>
        <w:t>谈判供应商全称（盖章）：</w:t>
      </w:r>
    </w:p>
    <w:p w14:paraId="62545D2D">
      <w:pPr>
        <w:spacing w:line="360" w:lineRule="auto"/>
        <w:rPr>
          <w:bCs/>
          <w:color w:val="auto"/>
          <w:sz w:val="24"/>
          <w:highlight w:val="none"/>
        </w:rPr>
        <w:sectPr>
          <w:pgSz w:w="11906" w:h="16838"/>
          <w:pgMar w:top="1440" w:right="1800" w:bottom="1440" w:left="1800" w:header="851" w:footer="992" w:gutter="0"/>
          <w:cols w:space="720" w:num="1"/>
          <w:docGrid w:type="lines" w:linePitch="312" w:charSpace="0"/>
        </w:sectPr>
      </w:pPr>
      <w:r>
        <w:rPr>
          <w:rFonts w:hint="eastAsia"/>
          <w:color w:val="auto"/>
          <w:szCs w:val="21"/>
          <w:highlight w:val="none"/>
        </w:rPr>
        <w:t xml:space="preserve">                                               日期：    年   月    日</w:t>
      </w:r>
    </w:p>
    <w:p w14:paraId="252B0E99">
      <w:pPr>
        <w:spacing w:line="360" w:lineRule="auto"/>
        <w:jc w:val="center"/>
        <w:rPr>
          <w:b/>
          <w:color w:val="auto"/>
          <w:szCs w:val="21"/>
          <w:highlight w:val="none"/>
        </w:rPr>
      </w:pPr>
      <w:r>
        <w:rPr>
          <w:rFonts w:hint="eastAsia"/>
          <w:b/>
          <w:color w:val="auto"/>
          <w:szCs w:val="21"/>
          <w:highlight w:val="none"/>
        </w:rPr>
        <w:t>五、服务响应及偏离表</w:t>
      </w:r>
    </w:p>
    <w:p w14:paraId="52265BBA">
      <w:pPr>
        <w:spacing w:line="360" w:lineRule="auto"/>
        <w:rPr>
          <w:bCs/>
          <w:color w:val="auto"/>
          <w:szCs w:val="21"/>
          <w:highlight w:val="none"/>
        </w:rPr>
      </w:pPr>
      <w:r>
        <w:rPr>
          <w:rFonts w:hint="eastAsia"/>
          <w:bCs/>
          <w:color w:val="auto"/>
          <w:szCs w:val="21"/>
          <w:highlight w:val="none"/>
        </w:rPr>
        <w:t>供应商全称（加盖公章）：</w:t>
      </w:r>
    </w:p>
    <w:tbl>
      <w:tblPr>
        <w:tblStyle w:val="26"/>
        <w:tblW w:w="8522"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4AF83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65FD5F6C">
            <w:pPr>
              <w:spacing w:after="200" w:line="220" w:lineRule="atLeast"/>
              <w:jc w:val="center"/>
              <w:rPr>
                <w:color w:val="auto"/>
                <w:szCs w:val="21"/>
                <w:highlight w:val="none"/>
              </w:rPr>
            </w:pPr>
            <w:r>
              <w:rPr>
                <w:rFonts w:hint="eastAsia"/>
                <w:color w:val="auto"/>
                <w:szCs w:val="21"/>
                <w:highlight w:val="none"/>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3C758463">
            <w:pPr>
              <w:spacing w:after="200" w:line="220" w:lineRule="atLeast"/>
              <w:rPr>
                <w:color w:val="auto"/>
                <w:szCs w:val="21"/>
                <w:highlight w:val="none"/>
              </w:rPr>
            </w:pPr>
            <w:r>
              <w:rPr>
                <w:rFonts w:hint="eastAsia"/>
                <w:color w:val="auto"/>
                <w:szCs w:val="21"/>
                <w:highlight w:val="none"/>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4614A314">
            <w:pPr>
              <w:spacing w:after="200" w:line="220" w:lineRule="atLeast"/>
              <w:ind w:firstLine="315" w:firstLineChars="150"/>
              <w:rPr>
                <w:color w:val="auto"/>
                <w:szCs w:val="21"/>
                <w:highlight w:val="none"/>
              </w:rPr>
            </w:pPr>
            <w:r>
              <w:rPr>
                <w:rFonts w:hint="eastAsia"/>
                <w:color w:val="auto"/>
                <w:szCs w:val="21"/>
                <w:highlight w:val="none"/>
              </w:rPr>
              <w:t>谈判要求</w:t>
            </w:r>
          </w:p>
        </w:tc>
        <w:tc>
          <w:tcPr>
            <w:tcW w:w="1276" w:type="dxa"/>
            <w:tcBorders>
              <w:top w:val="single" w:color="auto" w:sz="4" w:space="0"/>
              <w:left w:val="single" w:color="auto" w:sz="4" w:space="0"/>
              <w:bottom w:val="single" w:color="auto" w:sz="4" w:space="0"/>
              <w:right w:val="single" w:color="auto" w:sz="4" w:space="0"/>
            </w:tcBorders>
            <w:vAlign w:val="center"/>
          </w:tcPr>
          <w:p w14:paraId="735D0F94">
            <w:pPr>
              <w:spacing w:after="200" w:line="220" w:lineRule="atLeast"/>
              <w:rPr>
                <w:color w:val="auto"/>
                <w:szCs w:val="21"/>
                <w:highlight w:val="none"/>
              </w:rPr>
            </w:pPr>
            <w:r>
              <w:rPr>
                <w:rFonts w:hint="eastAsia"/>
                <w:color w:val="auto"/>
                <w:szCs w:val="21"/>
                <w:highlight w:val="none"/>
              </w:rPr>
              <w:t>谈判响应</w:t>
            </w:r>
          </w:p>
        </w:tc>
        <w:tc>
          <w:tcPr>
            <w:tcW w:w="1134" w:type="dxa"/>
            <w:tcBorders>
              <w:top w:val="single" w:color="auto" w:sz="4" w:space="0"/>
              <w:left w:val="single" w:color="auto" w:sz="4" w:space="0"/>
              <w:bottom w:val="single" w:color="auto" w:sz="4" w:space="0"/>
              <w:right w:val="single" w:color="auto" w:sz="4" w:space="0"/>
            </w:tcBorders>
            <w:vAlign w:val="center"/>
          </w:tcPr>
          <w:p w14:paraId="0EAA491B">
            <w:pPr>
              <w:spacing w:after="200" w:line="220" w:lineRule="atLeast"/>
              <w:rPr>
                <w:color w:val="auto"/>
                <w:szCs w:val="21"/>
                <w:highlight w:val="none"/>
              </w:rPr>
            </w:pPr>
            <w:r>
              <w:rPr>
                <w:rFonts w:hint="eastAsia"/>
                <w:color w:val="auto"/>
                <w:szCs w:val="21"/>
                <w:highlight w:val="none"/>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123A1D52">
            <w:pPr>
              <w:spacing w:after="200" w:line="220" w:lineRule="atLeast"/>
              <w:jc w:val="center"/>
              <w:rPr>
                <w:color w:val="auto"/>
                <w:szCs w:val="21"/>
                <w:highlight w:val="none"/>
              </w:rPr>
            </w:pPr>
            <w:r>
              <w:rPr>
                <w:rFonts w:hint="eastAsia"/>
                <w:color w:val="auto"/>
                <w:szCs w:val="21"/>
                <w:highlight w:val="none"/>
              </w:rPr>
              <w:t>原因或说明</w:t>
            </w:r>
          </w:p>
        </w:tc>
      </w:tr>
      <w:tr w14:paraId="11503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B8D998D">
            <w:pPr>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14:paraId="283E2211">
            <w:pPr>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6726F0BA">
            <w:pPr>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9B90571">
            <w:pPr>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BD544CF">
            <w:pPr>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14:paraId="52C2B899">
            <w:pPr>
              <w:spacing w:after="200" w:line="220" w:lineRule="atLeast"/>
              <w:jc w:val="center"/>
              <w:rPr>
                <w:color w:val="auto"/>
                <w:sz w:val="24"/>
                <w:szCs w:val="24"/>
                <w:highlight w:val="none"/>
              </w:rPr>
            </w:pPr>
          </w:p>
        </w:tc>
      </w:tr>
      <w:tr w14:paraId="58AC4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1862E69F">
            <w:pPr>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14:paraId="0BF0282E">
            <w:pPr>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25FFB60">
            <w:pPr>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99D69AE">
            <w:pPr>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BE90A75">
            <w:pPr>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14:paraId="72740232">
            <w:pPr>
              <w:spacing w:after="200" w:line="220" w:lineRule="atLeast"/>
              <w:jc w:val="center"/>
              <w:rPr>
                <w:color w:val="auto"/>
                <w:sz w:val="24"/>
                <w:szCs w:val="24"/>
                <w:highlight w:val="none"/>
              </w:rPr>
            </w:pPr>
          </w:p>
        </w:tc>
      </w:tr>
      <w:tr w14:paraId="685A0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A3B5B34">
            <w:pPr>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14:paraId="794E79DC">
            <w:pPr>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09753D4C">
            <w:pPr>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0974B85">
            <w:pPr>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FF00DD9">
            <w:pPr>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14:paraId="2267CE6A">
            <w:pPr>
              <w:spacing w:after="200" w:line="220" w:lineRule="atLeast"/>
              <w:jc w:val="center"/>
              <w:rPr>
                <w:color w:val="auto"/>
                <w:sz w:val="24"/>
                <w:szCs w:val="24"/>
                <w:highlight w:val="none"/>
              </w:rPr>
            </w:pPr>
          </w:p>
        </w:tc>
      </w:tr>
      <w:tr w14:paraId="65C47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B54C17D">
            <w:pPr>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14:paraId="3D555FC3">
            <w:pPr>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171621C">
            <w:pPr>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7249016">
            <w:pPr>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E8828E4">
            <w:pPr>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14:paraId="535F87EA">
            <w:pPr>
              <w:spacing w:after="200" w:line="220" w:lineRule="atLeast"/>
              <w:jc w:val="center"/>
              <w:rPr>
                <w:color w:val="auto"/>
                <w:sz w:val="24"/>
                <w:szCs w:val="24"/>
                <w:highlight w:val="none"/>
              </w:rPr>
            </w:pPr>
          </w:p>
        </w:tc>
      </w:tr>
      <w:tr w14:paraId="1267A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3B6CEA6C">
            <w:pPr>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14:paraId="14D6A494">
            <w:pPr>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3617FF6C">
            <w:pPr>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E02289B">
            <w:pPr>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094A00B">
            <w:pPr>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14:paraId="7CF2ADA2">
            <w:pPr>
              <w:spacing w:after="200" w:line="220" w:lineRule="atLeast"/>
              <w:jc w:val="center"/>
              <w:rPr>
                <w:color w:val="auto"/>
                <w:sz w:val="24"/>
                <w:szCs w:val="24"/>
                <w:highlight w:val="none"/>
              </w:rPr>
            </w:pPr>
          </w:p>
        </w:tc>
      </w:tr>
      <w:tr w14:paraId="4A8B9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37B87896">
            <w:pPr>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14:paraId="23A8B43B">
            <w:pPr>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4B601E9">
            <w:pPr>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DA9D791">
            <w:pPr>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42FC72F">
            <w:pPr>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14:paraId="00087A45">
            <w:pPr>
              <w:spacing w:after="200" w:line="220" w:lineRule="atLeast"/>
              <w:jc w:val="center"/>
              <w:rPr>
                <w:color w:val="auto"/>
                <w:sz w:val="24"/>
                <w:szCs w:val="24"/>
                <w:highlight w:val="none"/>
              </w:rPr>
            </w:pPr>
          </w:p>
        </w:tc>
      </w:tr>
      <w:tr w14:paraId="6E8F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9E548BC">
            <w:pPr>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14:paraId="539D59CA">
            <w:pPr>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5562AF37">
            <w:pPr>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1FF714D">
            <w:pPr>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14632A9">
            <w:pPr>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14:paraId="0EB6C1A5">
            <w:pPr>
              <w:spacing w:after="200" w:line="220" w:lineRule="atLeast"/>
              <w:jc w:val="center"/>
              <w:rPr>
                <w:color w:val="auto"/>
                <w:sz w:val="24"/>
                <w:szCs w:val="24"/>
                <w:highlight w:val="none"/>
              </w:rPr>
            </w:pPr>
          </w:p>
        </w:tc>
      </w:tr>
      <w:tr w14:paraId="47D91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15F5C96B">
            <w:pPr>
              <w:spacing w:after="200" w:line="220" w:lineRule="atLeast"/>
              <w:jc w:val="center"/>
              <w:rPr>
                <w:color w:val="auto"/>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tcPr>
          <w:p w14:paraId="1232677D">
            <w:pPr>
              <w:spacing w:after="200" w:line="220" w:lineRule="atLeast"/>
              <w:jc w:val="center"/>
              <w:rPr>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tcPr>
          <w:p w14:paraId="7861ADE5">
            <w:pPr>
              <w:spacing w:after="200" w:line="220" w:lineRule="atLeast"/>
              <w:jc w:val="center"/>
              <w:rPr>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6CA8C8B5">
            <w:pPr>
              <w:spacing w:after="200" w:line="220" w:lineRule="atLeast"/>
              <w:jc w:val="center"/>
              <w:rPr>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977B816">
            <w:pPr>
              <w:spacing w:after="200" w:line="220" w:lineRule="atLeast"/>
              <w:jc w:val="center"/>
              <w:rPr>
                <w:color w:val="auto"/>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tcPr>
          <w:p w14:paraId="4D71EE9E">
            <w:pPr>
              <w:spacing w:after="200" w:line="220" w:lineRule="atLeast"/>
              <w:jc w:val="center"/>
              <w:rPr>
                <w:color w:val="auto"/>
                <w:sz w:val="24"/>
                <w:szCs w:val="24"/>
                <w:highlight w:val="none"/>
              </w:rPr>
            </w:pPr>
          </w:p>
        </w:tc>
      </w:tr>
    </w:tbl>
    <w:p w14:paraId="7382A3C7">
      <w:pPr>
        <w:spacing w:line="360" w:lineRule="auto"/>
        <w:rPr>
          <w:color w:val="auto"/>
          <w:szCs w:val="21"/>
          <w:highlight w:val="none"/>
        </w:rPr>
      </w:pPr>
      <w:r>
        <w:rPr>
          <w:rFonts w:hint="eastAsia"/>
          <w:color w:val="auto"/>
          <w:szCs w:val="21"/>
          <w:highlight w:val="none"/>
        </w:rPr>
        <w:t>法定代表人或授权代表（签字或盖章）</w:t>
      </w:r>
    </w:p>
    <w:p w14:paraId="4E0408F7">
      <w:pPr>
        <w:spacing w:line="360" w:lineRule="auto"/>
        <w:rPr>
          <w:color w:val="auto"/>
          <w:szCs w:val="21"/>
          <w:highlight w:val="none"/>
        </w:rPr>
      </w:pPr>
      <w:r>
        <w:rPr>
          <w:rFonts w:hint="eastAsia"/>
          <w:color w:val="auto"/>
          <w:szCs w:val="21"/>
          <w:highlight w:val="none"/>
        </w:rPr>
        <w:t xml:space="preserve">                                             日期：     年    月     日</w:t>
      </w:r>
    </w:p>
    <w:p w14:paraId="40A08C7C">
      <w:pPr>
        <w:spacing w:line="360" w:lineRule="auto"/>
        <w:rPr>
          <w:b/>
          <w:color w:val="auto"/>
          <w:szCs w:val="21"/>
          <w:highlight w:val="none"/>
        </w:rPr>
      </w:pPr>
    </w:p>
    <w:p w14:paraId="3480FD72">
      <w:pPr>
        <w:spacing w:line="360" w:lineRule="auto"/>
        <w:rPr>
          <w:bCs/>
          <w:color w:val="auto"/>
          <w:szCs w:val="21"/>
          <w:highlight w:val="none"/>
        </w:rPr>
      </w:pPr>
      <w:r>
        <w:rPr>
          <w:rFonts w:hint="eastAsia"/>
          <w:b/>
          <w:color w:val="auto"/>
          <w:szCs w:val="21"/>
          <w:highlight w:val="none"/>
        </w:rPr>
        <w:t>注：</w:t>
      </w:r>
      <w:r>
        <w:rPr>
          <w:rFonts w:hint="eastAsia"/>
          <w:bCs/>
          <w:color w:val="auto"/>
          <w:szCs w:val="21"/>
          <w:highlight w:val="none"/>
        </w:rPr>
        <w:t>1、按照基本技术要求详细填列；</w:t>
      </w:r>
    </w:p>
    <w:p w14:paraId="4C32CE03">
      <w:pPr>
        <w:spacing w:line="360" w:lineRule="auto"/>
        <w:ind w:firstLine="480"/>
        <w:rPr>
          <w:bCs/>
          <w:color w:val="auto"/>
          <w:szCs w:val="21"/>
          <w:highlight w:val="none"/>
        </w:rPr>
      </w:pPr>
      <w:r>
        <w:rPr>
          <w:rFonts w:hint="eastAsia"/>
          <w:bCs/>
          <w:color w:val="auto"/>
          <w:szCs w:val="21"/>
          <w:highlight w:val="none"/>
        </w:rPr>
        <w:t>2、行数不够，可自行添加。</w:t>
      </w:r>
    </w:p>
    <w:p w14:paraId="378865BA">
      <w:pPr>
        <w:spacing w:line="360" w:lineRule="auto"/>
        <w:ind w:firstLine="480"/>
        <w:rPr>
          <w:bCs/>
          <w:color w:val="auto"/>
          <w:szCs w:val="21"/>
          <w:highlight w:val="none"/>
        </w:rPr>
      </w:pPr>
      <w:r>
        <w:rPr>
          <w:rFonts w:hint="eastAsia"/>
          <w:bCs/>
          <w:color w:val="auto"/>
          <w:szCs w:val="21"/>
          <w:highlight w:val="none"/>
        </w:rPr>
        <w:t>3、技术偏离表应针对项目需求逐条应答。</w:t>
      </w:r>
    </w:p>
    <w:p w14:paraId="44F3E662">
      <w:pPr>
        <w:jc w:val="center"/>
        <w:rPr>
          <w:color w:val="auto"/>
          <w:szCs w:val="21"/>
          <w:highlight w:val="none"/>
        </w:rPr>
      </w:pPr>
    </w:p>
    <w:p w14:paraId="760FAA3C">
      <w:pPr>
        <w:jc w:val="center"/>
        <w:rPr>
          <w:color w:val="auto"/>
          <w:szCs w:val="21"/>
          <w:highlight w:val="none"/>
        </w:rPr>
      </w:pPr>
    </w:p>
    <w:p w14:paraId="2D68D271">
      <w:pPr>
        <w:rPr>
          <w:color w:val="auto"/>
          <w:szCs w:val="21"/>
          <w:highlight w:val="none"/>
        </w:rPr>
      </w:pPr>
    </w:p>
    <w:p w14:paraId="2ABD3058">
      <w:pPr>
        <w:jc w:val="center"/>
        <w:rPr>
          <w:color w:val="auto"/>
          <w:szCs w:val="21"/>
          <w:highlight w:val="none"/>
        </w:rPr>
      </w:pPr>
    </w:p>
    <w:p w14:paraId="69D36287">
      <w:pPr>
        <w:jc w:val="center"/>
        <w:rPr>
          <w:color w:val="auto"/>
          <w:szCs w:val="21"/>
          <w:highlight w:val="none"/>
        </w:rPr>
      </w:pPr>
    </w:p>
    <w:p w14:paraId="73A6819C">
      <w:pPr>
        <w:spacing w:line="360" w:lineRule="auto"/>
        <w:jc w:val="center"/>
        <w:rPr>
          <w:b/>
          <w:color w:val="auto"/>
          <w:szCs w:val="21"/>
          <w:highlight w:val="none"/>
        </w:rPr>
      </w:pPr>
      <w:r>
        <w:rPr>
          <w:b/>
          <w:color w:val="auto"/>
          <w:szCs w:val="21"/>
          <w:highlight w:val="none"/>
        </w:rPr>
        <w:br w:type="page"/>
      </w:r>
      <w:r>
        <w:rPr>
          <w:rFonts w:hint="eastAsia"/>
          <w:b/>
          <w:color w:val="auto"/>
          <w:szCs w:val="21"/>
          <w:highlight w:val="none"/>
        </w:rPr>
        <w:t xml:space="preserve"> 六、商务条款响应及偏离表</w:t>
      </w:r>
    </w:p>
    <w:p w14:paraId="5B42BFC9">
      <w:pPr>
        <w:rPr>
          <w:color w:val="auto"/>
          <w:szCs w:val="21"/>
          <w:highlight w:val="none"/>
        </w:rPr>
      </w:pPr>
      <w:r>
        <w:rPr>
          <w:rFonts w:hint="eastAsia"/>
          <w:color w:val="auto"/>
          <w:szCs w:val="21"/>
          <w:highlight w:val="none"/>
        </w:rPr>
        <w:t>供应商全称（加盖公章）：     项目名称：</w:t>
      </w:r>
    </w:p>
    <w:tbl>
      <w:tblPr>
        <w:tblStyle w:val="26"/>
        <w:tblW w:w="8522" w:type="dxa"/>
        <w:tblInd w:w="-22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2423E1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tcPr>
          <w:p w14:paraId="5AA18D9A">
            <w:pPr>
              <w:spacing w:before="156" w:after="200" w:line="220" w:lineRule="atLeast"/>
              <w:jc w:val="right"/>
              <w:rPr>
                <w:color w:val="auto"/>
                <w:szCs w:val="21"/>
                <w:highlight w:val="none"/>
              </w:rPr>
            </w:pPr>
            <w:r>
              <w:rPr>
                <w:rFonts w:hint="eastAsia"/>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tcPr>
          <w:p w14:paraId="1252ED43">
            <w:pPr>
              <w:spacing w:before="156" w:after="200" w:line="220" w:lineRule="atLeast"/>
              <w:jc w:val="left"/>
              <w:rPr>
                <w:color w:val="auto"/>
                <w:szCs w:val="21"/>
                <w:highlight w:val="none"/>
              </w:rPr>
            </w:pPr>
            <w:r>
              <w:rPr>
                <w:rFonts w:hint="eastAsia"/>
                <w:color w:val="auto"/>
                <w:szCs w:val="21"/>
                <w:highlight w:val="none"/>
              </w:rPr>
              <w:t>项目</w:t>
            </w:r>
          </w:p>
        </w:tc>
        <w:tc>
          <w:tcPr>
            <w:tcW w:w="2693" w:type="dxa"/>
            <w:tcBorders>
              <w:top w:val="single" w:color="auto" w:sz="4" w:space="0"/>
              <w:left w:val="single" w:color="auto" w:sz="4" w:space="0"/>
              <w:bottom w:val="single" w:color="auto" w:sz="4" w:space="0"/>
              <w:right w:val="single" w:color="auto" w:sz="4" w:space="0"/>
            </w:tcBorders>
          </w:tcPr>
          <w:p w14:paraId="1F44C54B">
            <w:pPr>
              <w:spacing w:before="156" w:after="200" w:line="220" w:lineRule="atLeast"/>
              <w:rPr>
                <w:color w:val="auto"/>
                <w:szCs w:val="21"/>
                <w:highlight w:val="none"/>
              </w:rPr>
            </w:pPr>
            <w:r>
              <w:rPr>
                <w:rFonts w:hint="eastAsia"/>
                <w:color w:val="auto"/>
                <w:szCs w:val="21"/>
                <w:highlight w:val="none"/>
              </w:rPr>
              <w:t>谈判要求</w:t>
            </w:r>
          </w:p>
        </w:tc>
        <w:tc>
          <w:tcPr>
            <w:tcW w:w="993" w:type="dxa"/>
            <w:tcBorders>
              <w:top w:val="single" w:color="auto" w:sz="4" w:space="0"/>
              <w:left w:val="single" w:color="auto" w:sz="4" w:space="0"/>
              <w:bottom w:val="single" w:color="auto" w:sz="4" w:space="0"/>
              <w:right w:val="single" w:color="auto" w:sz="4" w:space="0"/>
            </w:tcBorders>
          </w:tcPr>
          <w:p w14:paraId="3239A70B">
            <w:pPr>
              <w:spacing w:before="156" w:after="200" w:line="220" w:lineRule="atLeast"/>
              <w:rPr>
                <w:color w:val="auto"/>
                <w:szCs w:val="21"/>
                <w:highlight w:val="none"/>
              </w:rPr>
            </w:pPr>
            <w:r>
              <w:rPr>
                <w:rFonts w:hint="eastAsia"/>
                <w:color w:val="auto"/>
                <w:szCs w:val="21"/>
                <w:highlight w:val="none"/>
              </w:rPr>
              <w:t>是否响应</w:t>
            </w:r>
          </w:p>
        </w:tc>
        <w:tc>
          <w:tcPr>
            <w:tcW w:w="2318" w:type="dxa"/>
            <w:tcBorders>
              <w:top w:val="single" w:color="auto" w:sz="4" w:space="0"/>
              <w:left w:val="single" w:color="auto" w:sz="4" w:space="0"/>
              <w:bottom w:val="single" w:color="auto" w:sz="4" w:space="0"/>
              <w:right w:val="single" w:color="auto" w:sz="4" w:space="0"/>
            </w:tcBorders>
          </w:tcPr>
          <w:p w14:paraId="68FBA7C8">
            <w:pPr>
              <w:spacing w:before="156" w:after="200" w:line="220" w:lineRule="atLeast"/>
              <w:rPr>
                <w:color w:val="auto"/>
                <w:szCs w:val="21"/>
                <w:highlight w:val="none"/>
              </w:rPr>
            </w:pPr>
            <w:r>
              <w:rPr>
                <w:rFonts w:hint="eastAsia"/>
                <w:color w:val="auto"/>
                <w:szCs w:val="21"/>
                <w:highlight w:val="none"/>
              </w:rPr>
              <w:t>供应商的承诺或说明</w:t>
            </w:r>
          </w:p>
        </w:tc>
      </w:tr>
      <w:tr w14:paraId="1BAE3C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vAlign w:val="center"/>
          </w:tcPr>
          <w:p w14:paraId="43ED42BC">
            <w:pPr>
              <w:spacing w:before="156" w:after="200" w:line="220" w:lineRule="atLeast"/>
              <w:jc w:val="center"/>
              <w:rPr>
                <w:rFonts w:cs="宋体"/>
                <w:color w:val="auto"/>
                <w:szCs w:val="21"/>
                <w:highlight w:val="none"/>
              </w:rPr>
            </w:pPr>
            <w:r>
              <w:rPr>
                <w:rFonts w:hint="eastAsia" w:cs="宋体"/>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vAlign w:val="center"/>
          </w:tcPr>
          <w:p w14:paraId="1C81AA84">
            <w:pPr>
              <w:spacing w:before="156" w:after="200" w:line="220" w:lineRule="atLeast"/>
              <w:jc w:val="left"/>
              <w:rPr>
                <w:color w:val="auto"/>
                <w:szCs w:val="21"/>
                <w:highlight w:val="none"/>
              </w:rPr>
            </w:pPr>
            <w:r>
              <w:rPr>
                <w:rFonts w:hint="eastAsia"/>
                <w:color w:val="auto"/>
                <w:szCs w:val="21"/>
                <w:highlight w:val="none"/>
              </w:rPr>
              <w:t>服务期限</w:t>
            </w:r>
          </w:p>
        </w:tc>
        <w:tc>
          <w:tcPr>
            <w:tcW w:w="2693" w:type="dxa"/>
            <w:tcBorders>
              <w:top w:val="single" w:color="auto" w:sz="4" w:space="0"/>
              <w:left w:val="single" w:color="auto" w:sz="4" w:space="0"/>
              <w:bottom w:val="single" w:color="auto" w:sz="4" w:space="0"/>
              <w:right w:val="single" w:color="auto" w:sz="4" w:space="0"/>
            </w:tcBorders>
          </w:tcPr>
          <w:p w14:paraId="3F045DD1">
            <w:pPr>
              <w:spacing w:before="156"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21F33447">
            <w:pPr>
              <w:spacing w:before="156" w:after="200" w:line="220" w:lineRule="atLeast"/>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14:paraId="11F8B237">
            <w:pPr>
              <w:spacing w:before="156" w:after="200" w:line="220" w:lineRule="atLeast"/>
              <w:rPr>
                <w:color w:val="auto"/>
                <w:szCs w:val="21"/>
                <w:highlight w:val="none"/>
              </w:rPr>
            </w:pPr>
          </w:p>
        </w:tc>
      </w:tr>
      <w:tr w14:paraId="438232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vAlign w:val="center"/>
          </w:tcPr>
          <w:p w14:paraId="4BE95A87">
            <w:pPr>
              <w:spacing w:before="156" w:after="200" w:line="220" w:lineRule="atLeast"/>
              <w:jc w:val="center"/>
              <w:rPr>
                <w:rFonts w:cs="宋体"/>
                <w:color w:val="auto"/>
                <w:szCs w:val="21"/>
                <w:highlight w:val="none"/>
              </w:rPr>
            </w:pPr>
            <w:r>
              <w:rPr>
                <w:rFonts w:hint="eastAsia" w:cs="宋体"/>
                <w:color w:val="auto"/>
                <w:szCs w:val="21"/>
                <w:highlight w:val="none"/>
              </w:rPr>
              <w:t>2</w:t>
            </w:r>
          </w:p>
        </w:tc>
        <w:tc>
          <w:tcPr>
            <w:tcW w:w="1843" w:type="dxa"/>
            <w:tcBorders>
              <w:top w:val="single" w:color="auto" w:sz="4" w:space="0"/>
              <w:left w:val="single" w:color="auto" w:sz="4" w:space="0"/>
              <w:bottom w:val="single" w:color="auto" w:sz="4" w:space="0"/>
              <w:right w:val="single" w:color="auto" w:sz="4" w:space="0"/>
            </w:tcBorders>
            <w:vAlign w:val="center"/>
          </w:tcPr>
          <w:p w14:paraId="2014C177">
            <w:pPr>
              <w:spacing w:before="156" w:after="200" w:line="220" w:lineRule="atLeast"/>
              <w:jc w:val="left"/>
              <w:rPr>
                <w:color w:val="auto"/>
                <w:szCs w:val="21"/>
                <w:highlight w:val="none"/>
              </w:rPr>
            </w:pPr>
            <w:r>
              <w:rPr>
                <w:rFonts w:hint="eastAsia"/>
                <w:color w:val="auto"/>
                <w:szCs w:val="21"/>
                <w:highlight w:val="none"/>
              </w:rPr>
              <w:t>服务要求</w:t>
            </w:r>
          </w:p>
        </w:tc>
        <w:tc>
          <w:tcPr>
            <w:tcW w:w="2693" w:type="dxa"/>
            <w:tcBorders>
              <w:top w:val="single" w:color="auto" w:sz="4" w:space="0"/>
              <w:left w:val="single" w:color="auto" w:sz="4" w:space="0"/>
              <w:bottom w:val="single" w:color="auto" w:sz="4" w:space="0"/>
              <w:right w:val="single" w:color="auto" w:sz="4" w:space="0"/>
            </w:tcBorders>
          </w:tcPr>
          <w:p w14:paraId="48629143">
            <w:pPr>
              <w:spacing w:before="156"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134A125D">
            <w:pPr>
              <w:spacing w:before="156" w:after="200" w:line="220" w:lineRule="atLeast"/>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14:paraId="5962373C">
            <w:pPr>
              <w:spacing w:before="156" w:after="200" w:line="220" w:lineRule="atLeast"/>
              <w:rPr>
                <w:color w:val="auto"/>
                <w:szCs w:val="21"/>
                <w:highlight w:val="none"/>
              </w:rPr>
            </w:pPr>
          </w:p>
        </w:tc>
      </w:tr>
      <w:tr w14:paraId="0EAFC4B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vAlign w:val="center"/>
          </w:tcPr>
          <w:p w14:paraId="1E9A6A71">
            <w:pPr>
              <w:spacing w:before="156" w:after="200" w:line="220" w:lineRule="atLeast"/>
              <w:jc w:val="center"/>
              <w:rPr>
                <w:rFonts w:cs="宋体"/>
                <w:color w:val="auto"/>
                <w:szCs w:val="21"/>
                <w:highlight w:val="none"/>
              </w:rPr>
            </w:pPr>
            <w:r>
              <w:rPr>
                <w:rFonts w:hint="eastAsia" w:cs="宋体"/>
                <w:color w:val="auto"/>
                <w:szCs w:val="21"/>
                <w:highlight w:val="none"/>
              </w:rPr>
              <w:t>3</w:t>
            </w:r>
          </w:p>
        </w:tc>
        <w:tc>
          <w:tcPr>
            <w:tcW w:w="1843" w:type="dxa"/>
            <w:tcBorders>
              <w:top w:val="single" w:color="auto" w:sz="4" w:space="0"/>
              <w:left w:val="single" w:color="auto" w:sz="4" w:space="0"/>
              <w:bottom w:val="single" w:color="auto" w:sz="4" w:space="0"/>
              <w:right w:val="single" w:color="auto" w:sz="4" w:space="0"/>
            </w:tcBorders>
            <w:vAlign w:val="center"/>
          </w:tcPr>
          <w:p w14:paraId="2A539653">
            <w:pPr>
              <w:spacing w:before="156" w:after="200" w:line="220" w:lineRule="atLeast"/>
              <w:jc w:val="left"/>
              <w:rPr>
                <w:color w:val="auto"/>
                <w:szCs w:val="21"/>
                <w:highlight w:val="none"/>
              </w:rPr>
            </w:pPr>
            <w:r>
              <w:rPr>
                <w:rFonts w:hint="eastAsia"/>
                <w:color w:val="auto"/>
                <w:szCs w:val="21"/>
                <w:highlight w:val="none"/>
              </w:rPr>
              <w:t>交付时间</w:t>
            </w:r>
          </w:p>
        </w:tc>
        <w:tc>
          <w:tcPr>
            <w:tcW w:w="2693" w:type="dxa"/>
            <w:tcBorders>
              <w:top w:val="single" w:color="auto" w:sz="4" w:space="0"/>
              <w:left w:val="single" w:color="auto" w:sz="4" w:space="0"/>
              <w:bottom w:val="single" w:color="auto" w:sz="4" w:space="0"/>
              <w:right w:val="single" w:color="auto" w:sz="4" w:space="0"/>
            </w:tcBorders>
          </w:tcPr>
          <w:p w14:paraId="037DCB41">
            <w:pPr>
              <w:spacing w:before="156"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17144B43">
            <w:pPr>
              <w:spacing w:before="156" w:after="200" w:line="220" w:lineRule="atLeast"/>
              <w:ind w:left="43"/>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14:paraId="2ECBE5DA">
            <w:pPr>
              <w:spacing w:before="156" w:after="200" w:line="220" w:lineRule="atLeast"/>
              <w:ind w:left="43"/>
              <w:rPr>
                <w:color w:val="auto"/>
                <w:szCs w:val="21"/>
                <w:highlight w:val="none"/>
              </w:rPr>
            </w:pPr>
          </w:p>
        </w:tc>
      </w:tr>
      <w:tr w14:paraId="5CDB07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vAlign w:val="center"/>
          </w:tcPr>
          <w:p w14:paraId="08A3E10E">
            <w:pPr>
              <w:spacing w:before="156" w:after="200" w:line="220" w:lineRule="atLeast"/>
              <w:jc w:val="center"/>
              <w:rPr>
                <w:rFonts w:cs="宋体"/>
                <w:color w:val="auto"/>
                <w:szCs w:val="21"/>
                <w:highlight w:val="none"/>
              </w:rPr>
            </w:pPr>
            <w:r>
              <w:rPr>
                <w:rFonts w:hint="eastAsia" w:cs="宋体"/>
                <w:color w:val="auto"/>
                <w:szCs w:val="21"/>
                <w:highlight w:val="none"/>
              </w:rPr>
              <w:t>4</w:t>
            </w:r>
          </w:p>
        </w:tc>
        <w:tc>
          <w:tcPr>
            <w:tcW w:w="1843" w:type="dxa"/>
            <w:tcBorders>
              <w:top w:val="single" w:color="auto" w:sz="4" w:space="0"/>
              <w:left w:val="single" w:color="auto" w:sz="4" w:space="0"/>
              <w:bottom w:val="single" w:color="auto" w:sz="4" w:space="0"/>
              <w:right w:val="single" w:color="auto" w:sz="4" w:space="0"/>
            </w:tcBorders>
            <w:vAlign w:val="center"/>
          </w:tcPr>
          <w:p w14:paraId="6A430138">
            <w:pPr>
              <w:spacing w:before="156" w:after="200" w:line="220" w:lineRule="atLeast"/>
              <w:jc w:val="left"/>
              <w:rPr>
                <w:color w:val="auto"/>
                <w:szCs w:val="21"/>
                <w:highlight w:val="none"/>
              </w:rPr>
            </w:pPr>
            <w:r>
              <w:rPr>
                <w:rFonts w:hint="eastAsia"/>
                <w:color w:val="auto"/>
                <w:szCs w:val="21"/>
                <w:highlight w:val="none"/>
              </w:rPr>
              <w:t>交付方式</w:t>
            </w:r>
          </w:p>
        </w:tc>
        <w:tc>
          <w:tcPr>
            <w:tcW w:w="2693" w:type="dxa"/>
            <w:tcBorders>
              <w:top w:val="single" w:color="auto" w:sz="4" w:space="0"/>
              <w:left w:val="single" w:color="auto" w:sz="4" w:space="0"/>
              <w:bottom w:val="single" w:color="auto" w:sz="4" w:space="0"/>
              <w:right w:val="single" w:color="auto" w:sz="4" w:space="0"/>
            </w:tcBorders>
          </w:tcPr>
          <w:p w14:paraId="27774BC6">
            <w:pPr>
              <w:spacing w:before="156" w:after="0" w:line="220" w:lineRule="atLeast"/>
              <w:rPr>
                <w:color w:val="auto"/>
                <w:szCs w:val="21"/>
                <w:highlight w:val="none"/>
              </w:rPr>
            </w:pPr>
          </w:p>
          <w:p w14:paraId="39E6A458">
            <w:pPr>
              <w:spacing w:before="156"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538AC302">
            <w:pPr>
              <w:spacing w:before="156" w:after="200" w:line="220" w:lineRule="atLeast"/>
              <w:ind w:left="43"/>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14:paraId="219E03FC">
            <w:pPr>
              <w:spacing w:before="156" w:after="200" w:line="220" w:lineRule="atLeast"/>
              <w:ind w:left="43"/>
              <w:rPr>
                <w:color w:val="auto"/>
                <w:szCs w:val="21"/>
                <w:highlight w:val="none"/>
              </w:rPr>
            </w:pPr>
          </w:p>
        </w:tc>
      </w:tr>
      <w:tr w14:paraId="609B6C5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vAlign w:val="center"/>
          </w:tcPr>
          <w:p w14:paraId="44412CBE">
            <w:pPr>
              <w:spacing w:before="156" w:after="200" w:line="220" w:lineRule="atLeast"/>
              <w:jc w:val="center"/>
              <w:rPr>
                <w:rFonts w:cs="宋体"/>
                <w:color w:val="auto"/>
                <w:szCs w:val="21"/>
                <w:highlight w:val="none"/>
              </w:rPr>
            </w:pPr>
            <w:r>
              <w:rPr>
                <w:rFonts w:hint="eastAsia" w:cs="宋体"/>
                <w:color w:val="auto"/>
                <w:szCs w:val="21"/>
                <w:highlight w:val="none"/>
              </w:rPr>
              <w:t>5</w:t>
            </w:r>
          </w:p>
        </w:tc>
        <w:tc>
          <w:tcPr>
            <w:tcW w:w="1843" w:type="dxa"/>
            <w:tcBorders>
              <w:top w:val="single" w:color="auto" w:sz="4" w:space="0"/>
              <w:left w:val="single" w:color="auto" w:sz="4" w:space="0"/>
              <w:bottom w:val="single" w:color="auto" w:sz="4" w:space="0"/>
              <w:right w:val="single" w:color="auto" w:sz="4" w:space="0"/>
            </w:tcBorders>
            <w:vAlign w:val="center"/>
          </w:tcPr>
          <w:p w14:paraId="779F6528">
            <w:pPr>
              <w:spacing w:before="156" w:after="200" w:line="220" w:lineRule="atLeast"/>
              <w:jc w:val="left"/>
              <w:rPr>
                <w:color w:val="auto"/>
                <w:szCs w:val="21"/>
                <w:highlight w:val="none"/>
              </w:rPr>
            </w:pPr>
            <w:r>
              <w:rPr>
                <w:rFonts w:hint="eastAsia"/>
                <w:color w:val="auto"/>
                <w:szCs w:val="21"/>
                <w:highlight w:val="none"/>
              </w:rPr>
              <w:t>交付地点</w:t>
            </w:r>
          </w:p>
        </w:tc>
        <w:tc>
          <w:tcPr>
            <w:tcW w:w="2693" w:type="dxa"/>
            <w:tcBorders>
              <w:top w:val="single" w:color="auto" w:sz="4" w:space="0"/>
              <w:left w:val="single" w:color="auto" w:sz="4" w:space="0"/>
              <w:bottom w:val="single" w:color="auto" w:sz="4" w:space="0"/>
              <w:right w:val="single" w:color="auto" w:sz="4" w:space="0"/>
            </w:tcBorders>
          </w:tcPr>
          <w:p w14:paraId="71AC1535">
            <w:pPr>
              <w:spacing w:before="156" w:after="0" w:line="220" w:lineRule="atLeast"/>
              <w:rPr>
                <w:color w:val="auto"/>
                <w:szCs w:val="21"/>
                <w:highlight w:val="none"/>
              </w:rPr>
            </w:pPr>
          </w:p>
          <w:p w14:paraId="1708E9BF">
            <w:pPr>
              <w:spacing w:before="156"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072AD4AC">
            <w:pPr>
              <w:spacing w:before="156" w:after="200" w:line="220" w:lineRule="atLeast"/>
              <w:ind w:left="43"/>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14:paraId="618B1FAC">
            <w:pPr>
              <w:spacing w:before="156" w:after="200" w:line="220" w:lineRule="atLeast"/>
              <w:ind w:left="43"/>
              <w:rPr>
                <w:color w:val="auto"/>
                <w:szCs w:val="21"/>
                <w:highlight w:val="none"/>
              </w:rPr>
            </w:pPr>
          </w:p>
        </w:tc>
      </w:tr>
      <w:tr w14:paraId="2CA12E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vAlign w:val="center"/>
          </w:tcPr>
          <w:p w14:paraId="0CCD54E5">
            <w:pPr>
              <w:spacing w:before="156" w:after="200" w:line="220" w:lineRule="atLeast"/>
              <w:jc w:val="center"/>
              <w:rPr>
                <w:rFonts w:cs="宋体"/>
                <w:color w:val="auto"/>
                <w:szCs w:val="21"/>
                <w:highlight w:val="none"/>
              </w:rPr>
            </w:pPr>
            <w:r>
              <w:rPr>
                <w:rFonts w:hint="eastAsia" w:cs="宋体"/>
                <w:color w:val="auto"/>
                <w:szCs w:val="21"/>
                <w:highlight w:val="none"/>
              </w:rPr>
              <w:t>6</w:t>
            </w:r>
          </w:p>
        </w:tc>
        <w:tc>
          <w:tcPr>
            <w:tcW w:w="1843" w:type="dxa"/>
            <w:tcBorders>
              <w:top w:val="single" w:color="auto" w:sz="4" w:space="0"/>
              <w:left w:val="single" w:color="auto" w:sz="4" w:space="0"/>
              <w:bottom w:val="single" w:color="auto" w:sz="4" w:space="0"/>
              <w:right w:val="single" w:color="auto" w:sz="4" w:space="0"/>
            </w:tcBorders>
            <w:vAlign w:val="center"/>
          </w:tcPr>
          <w:p w14:paraId="65FFAC3E">
            <w:pPr>
              <w:spacing w:before="156" w:after="200" w:line="220" w:lineRule="atLeast"/>
              <w:jc w:val="left"/>
              <w:rPr>
                <w:color w:val="auto"/>
                <w:szCs w:val="21"/>
                <w:highlight w:val="none"/>
              </w:rPr>
            </w:pPr>
            <w:r>
              <w:rPr>
                <w:rFonts w:hint="eastAsia"/>
                <w:color w:val="auto"/>
                <w:szCs w:val="21"/>
                <w:highlight w:val="none"/>
              </w:rPr>
              <w:t>付款方式</w:t>
            </w:r>
          </w:p>
        </w:tc>
        <w:tc>
          <w:tcPr>
            <w:tcW w:w="2693" w:type="dxa"/>
            <w:tcBorders>
              <w:top w:val="single" w:color="auto" w:sz="4" w:space="0"/>
              <w:left w:val="single" w:color="auto" w:sz="4" w:space="0"/>
              <w:bottom w:val="single" w:color="auto" w:sz="4" w:space="0"/>
              <w:right w:val="single" w:color="auto" w:sz="4" w:space="0"/>
            </w:tcBorders>
          </w:tcPr>
          <w:p w14:paraId="78DAB393">
            <w:pPr>
              <w:spacing w:before="156" w:after="200" w:line="220" w:lineRule="atLeast"/>
              <w:rPr>
                <w:color w:val="auto"/>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766636F4">
            <w:pPr>
              <w:spacing w:before="156" w:after="200" w:line="220" w:lineRule="atLeast"/>
              <w:rPr>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tcPr>
          <w:p w14:paraId="762E4583">
            <w:pPr>
              <w:spacing w:before="156" w:after="200" w:line="220" w:lineRule="atLeast"/>
              <w:rPr>
                <w:color w:val="auto"/>
                <w:sz w:val="24"/>
                <w:szCs w:val="20"/>
                <w:highlight w:val="none"/>
              </w:rPr>
            </w:pPr>
          </w:p>
        </w:tc>
      </w:tr>
      <w:tr w14:paraId="171EF1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vAlign w:val="center"/>
          </w:tcPr>
          <w:p w14:paraId="5C9D12E2">
            <w:pPr>
              <w:spacing w:before="156" w:after="200" w:line="220" w:lineRule="atLeast"/>
              <w:jc w:val="center"/>
              <w:rPr>
                <w:rFonts w:cs="宋体"/>
                <w:color w:val="auto"/>
                <w:szCs w:val="21"/>
                <w:highlight w:val="none"/>
              </w:rPr>
            </w:pPr>
            <w:r>
              <w:rPr>
                <w:rFonts w:hint="eastAsia" w:cs="宋体"/>
                <w:color w:val="auto"/>
                <w:szCs w:val="21"/>
                <w:highlight w:val="none"/>
              </w:rPr>
              <w:t>7</w:t>
            </w:r>
          </w:p>
        </w:tc>
        <w:tc>
          <w:tcPr>
            <w:tcW w:w="1843" w:type="dxa"/>
            <w:tcBorders>
              <w:top w:val="single" w:color="auto" w:sz="4" w:space="0"/>
              <w:left w:val="single" w:color="auto" w:sz="4" w:space="0"/>
              <w:bottom w:val="single" w:color="auto" w:sz="4" w:space="0"/>
              <w:right w:val="single" w:color="auto" w:sz="4" w:space="0"/>
            </w:tcBorders>
            <w:vAlign w:val="center"/>
          </w:tcPr>
          <w:p w14:paraId="2E89B39B">
            <w:pPr>
              <w:spacing w:before="156" w:after="200" w:line="220" w:lineRule="atLeast"/>
              <w:jc w:val="left"/>
              <w:rPr>
                <w:color w:val="auto"/>
                <w:szCs w:val="21"/>
                <w:highlight w:val="none"/>
              </w:rPr>
            </w:pPr>
            <w:r>
              <w:rPr>
                <w:rFonts w:hint="eastAsia"/>
                <w:color w:val="auto"/>
                <w:szCs w:val="21"/>
                <w:highlight w:val="none"/>
              </w:rPr>
              <w:t>谈判响应货币</w:t>
            </w:r>
          </w:p>
        </w:tc>
        <w:tc>
          <w:tcPr>
            <w:tcW w:w="2693" w:type="dxa"/>
            <w:tcBorders>
              <w:top w:val="single" w:color="auto" w:sz="4" w:space="0"/>
              <w:left w:val="single" w:color="auto" w:sz="4" w:space="0"/>
              <w:bottom w:val="single" w:color="auto" w:sz="4" w:space="0"/>
              <w:right w:val="single" w:color="auto" w:sz="4" w:space="0"/>
            </w:tcBorders>
          </w:tcPr>
          <w:p w14:paraId="40BF915A">
            <w:pPr>
              <w:spacing w:before="156" w:after="0" w:line="220" w:lineRule="atLeast"/>
              <w:rPr>
                <w:color w:val="auto"/>
                <w:sz w:val="24"/>
                <w:szCs w:val="20"/>
                <w:highlight w:val="none"/>
              </w:rPr>
            </w:pPr>
          </w:p>
          <w:p w14:paraId="517C7AA3">
            <w:pPr>
              <w:spacing w:before="156" w:after="200" w:line="220" w:lineRule="atLeast"/>
              <w:rPr>
                <w:color w:val="auto"/>
                <w:sz w:val="24"/>
                <w:szCs w:val="20"/>
                <w:highlight w:val="none"/>
              </w:rPr>
            </w:pPr>
          </w:p>
        </w:tc>
        <w:tc>
          <w:tcPr>
            <w:tcW w:w="993" w:type="dxa"/>
            <w:tcBorders>
              <w:top w:val="single" w:color="auto" w:sz="4" w:space="0"/>
              <w:left w:val="single" w:color="auto" w:sz="4" w:space="0"/>
              <w:bottom w:val="single" w:color="auto" w:sz="4" w:space="0"/>
              <w:right w:val="single" w:color="auto" w:sz="4" w:space="0"/>
            </w:tcBorders>
          </w:tcPr>
          <w:p w14:paraId="0AFFCBB6">
            <w:pPr>
              <w:spacing w:before="156" w:after="200" w:line="220" w:lineRule="atLeast"/>
              <w:rPr>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tcPr>
          <w:p w14:paraId="6A1EBDD5">
            <w:pPr>
              <w:spacing w:before="156" w:after="200" w:line="220" w:lineRule="atLeast"/>
              <w:rPr>
                <w:color w:val="auto"/>
                <w:sz w:val="24"/>
                <w:szCs w:val="20"/>
                <w:highlight w:val="none"/>
              </w:rPr>
            </w:pPr>
          </w:p>
        </w:tc>
      </w:tr>
      <w:tr w14:paraId="3D1731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4DBC5D9">
            <w:pPr>
              <w:spacing w:before="156" w:after="200" w:line="220" w:lineRule="atLeast"/>
              <w:jc w:val="center"/>
              <w:rPr>
                <w:rFonts w:cs="宋体"/>
                <w:color w:val="auto"/>
                <w:szCs w:val="21"/>
                <w:highlight w:val="none"/>
              </w:rPr>
            </w:pPr>
            <w:r>
              <w:rPr>
                <w:rFonts w:hint="eastAsia" w:cs="宋体"/>
                <w:color w:val="auto"/>
                <w:szCs w:val="21"/>
                <w:highlight w:val="none"/>
              </w:rPr>
              <w:t>8</w:t>
            </w:r>
          </w:p>
        </w:tc>
        <w:tc>
          <w:tcPr>
            <w:tcW w:w="1843" w:type="dxa"/>
            <w:tcBorders>
              <w:top w:val="single" w:color="auto" w:sz="4" w:space="0"/>
              <w:left w:val="single" w:color="auto" w:sz="4" w:space="0"/>
              <w:bottom w:val="single" w:color="auto" w:sz="4" w:space="0"/>
              <w:right w:val="single" w:color="auto" w:sz="4" w:space="0"/>
            </w:tcBorders>
            <w:vAlign w:val="center"/>
          </w:tcPr>
          <w:p w14:paraId="2C29504B">
            <w:pPr>
              <w:spacing w:before="156" w:after="200" w:line="220" w:lineRule="atLeast"/>
              <w:jc w:val="left"/>
              <w:rPr>
                <w:color w:val="auto"/>
                <w:szCs w:val="21"/>
                <w:highlight w:val="none"/>
              </w:rPr>
            </w:pPr>
            <w:r>
              <w:rPr>
                <w:rFonts w:hint="eastAsia"/>
                <w:color w:val="auto"/>
                <w:szCs w:val="21"/>
                <w:highlight w:val="none"/>
              </w:rPr>
              <w:t>其他</w:t>
            </w:r>
          </w:p>
        </w:tc>
        <w:tc>
          <w:tcPr>
            <w:tcW w:w="2693" w:type="dxa"/>
            <w:tcBorders>
              <w:top w:val="single" w:color="auto" w:sz="4" w:space="0"/>
              <w:left w:val="single" w:color="auto" w:sz="4" w:space="0"/>
              <w:bottom w:val="single" w:color="auto" w:sz="4" w:space="0"/>
              <w:right w:val="single" w:color="auto" w:sz="4" w:space="0"/>
            </w:tcBorders>
          </w:tcPr>
          <w:p w14:paraId="70DFE5CC">
            <w:pPr>
              <w:spacing w:before="156" w:after="200" w:line="220" w:lineRule="atLeast"/>
              <w:rPr>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2C2FEB7E">
            <w:pPr>
              <w:spacing w:before="156" w:after="200" w:line="220" w:lineRule="atLeast"/>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tcPr>
          <w:p w14:paraId="03D02036">
            <w:pPr>
              <w:spacing w:before="156" w:after="200" w:line="220" w:lineRule="atLeast"/>
              <w:rPr>
                <w:color w:val="auto"/>
                <w:szCs w:val="21"/>
                <w:highlight w:val="none"/>
              </w:rPr>
            </w:pPr>
          </w:p>
        </w:tc>
      </w:tr>
    </w:tbl>
    <w:p w14:paraId="2C026EF7">
      <w:pPr>
        <w:rPr>
          <w:color w:val="auto"/>
          <w:szCs w:val="21"/>
          <w:highlight w:val="none"/>
        </w:rPr>
      </w:pPr>
    </w:p>
    <w:p w14:paraId="5B602732">
      <w:pPr>
        <w:rPr>
          <w:color w:val="auto"/>
          <w:szCs w:val="21"/>
          <w:highlight w:val="none"/>
        </w:rPr>
      </w:pPr>
      <w:r>
        <w:rPr>
          <w:rFonts w:hint="eastAsia"/>
          <w:color w:val="auto"/>
          <w:szCs w:val="21"/>
          <w:highlight w:val="none"/>
        </w:rPr>
        <w:t>法定代表人或授权代表签字：</w:t>
      </w:r>
    </w:p>
    <w:p w14:paraId="59B3C25B">
      <w:pPr>
        <w:jc w:val="right"/>
        <w:rPr>
          <w:color w:val="auto"/>
          <w:szCs w:val="21"/>
          <w:highlight w:val="none"/>
        </w:rPr>
      </w:pPr>
    </w:p>
    <w:p w14:paraId="632C7687">
      <w:pPr>
        <w:jc w:val="right"/>
        <w:rPr>
          <w:color w:val="auto"/>
          <w:szCs w:val="21"/>
          <w:highlight w:val="none"/>
        </w:rPr>
        <w:sectPr>
          <w:pgSz w:w="11906" w:h="16838"/>
          <w:pgMar w:top="1440" w:right="1800" w:bottom="1440" w:left="1800" w:header="851" w:footer="992" w:gutter="0"/>
          <w:cols w:space="720" w:num="1"/>
          <w:docGrid w:type="lines" w:linePitch="312" w:charSpace="0"/>
        </w:sectPr>
      </w:pPr>
      <w:r>
        <w:rPr>
          <w:rFonts w:hint="eastAsia"/>
          <w:color w:val="auto"/>
          <w:szCs w:val="21"/>
          <w:highlight w:val="none"/>
        </w:rPr>
        <w:t>日期：     年    月     日</w:t>
      </w:r>
    </w:p>
    <w:p w14:paraId="37B8AEA6">
      <w:pPr>
        <w:spacing w:line="360" w:lineRule="auto"/>
        <w:ind w:left="3150" w:right="-2"/>
        <w:rPr>
          <w:b/>
          <w:bCs/>
          <w:color w:val="auto"/>
          <w:szCs w:val="21"/>
          <w:highlight w:val="none"/>
        </w:rPr>
      </w:pPr>
      <w:r>
        <w:rPr>
          <w:rFonts w:hint="eastAsia"/>
          <w:b/>
          <w:bCs/>
          <w:color w:val="auto"/>
          <w:szCs w:val="21"/>
          <w:highlight w:val="none"/>
        </w:rPr>
        <w:t>七、拟投入人员一览表</w:t>
      </w:r>
    </w:p>
    <w:p w14:paraId="1494D5EF">
      <w:pPr>
        <w:rPr>
          <w:color w:val="auto"/>
          <w:szCs w:val="21"/>
          <w:highlight w:val="none"/>
        </w:rPr>
      </w:pPr>
      <w:r>
        <w:rPr>
          <w:rFonts w:hint="eastAsia"/>
          <w:color w:val="auto"/>
          <w:szCs w:val="21"/>
          <w:highlight w:val="none"/>
        </w:rPr>
        <w:t xml:space="preserve">供应商全称（加盖公章）：     </w:t>
      </w:r>
    </w:p>
    <w:p w14:paraId="43BAD1DC">
      <w:pPr>
        <w:rPr>
          <w:color w:val="auto"/>
          <w:szCs w:val="21"/>
          <w:highlight w:val="none"/>
        </w:rPr>
      </w:pPr>
    </w:p>
    <w:p w14:paraId="3C21B543">
      <w:pPr>
        <w:rPr>
          <w:b/>
          <w:bCs/>
          <w:color w:val="auto"/>
          <w:szCs w:val="21"/>
          <w:highlight w:val="none"/>
        </w:rPr>
      </w:pPr>
      <w:r>
        <w:rPr>
          <w:rFonts w:hint="eastAsia"/>
          <w:color w:val="auto"/>
          <w:szCs w:val="21"/>
          <w:highlight w:val="none"/>
        </w:rPr>
        <w:t>项目名称：</w:t>
      </w:r>
    </w:p>
    <w:tbl>
      <w:tblPr>
        <w:tblStyle w:val="26"/>
        <w:tblW w:w="8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708"/>
        <w:gridCol w:w="843"/>
        <w:gridCol w:w="727"/>
        <w:gridCol w:w="773"/>
        <w:gridCol w:w="707"/>
        <w:gridCol w:w="734"/>
        <w:gridCol w:w="1339"/>
        <w:gridCol w:w="1361"/>
        <w:gridCol w:w="747"/>
      </w:tblGrid>
      <w:tr w14:paraId="65FBE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580" w:type="dxa"/>
            <w:vAlign w:val="center"/>
          </w:tcPr>
          <w:p w14:paraId="53A7B115">
            <w:pPr>
              <w:spacing w:before="312" w:after="0" w:line="360" w:lineRule="auto"/>
              <w:ind w:right="-2"/>
              <w:jc w:val="center"/>
              <w:rPr>
                <w:color w:val="auto"/>
                <w:szCs w:val="21"/>
                <w:highlight w:val="none"/>
              </w:rPr>
            </w:pPr>
            <w:r>
              <w:rPr>
                <w:rFonts w:hint="eastAsia"/>
                <w:color w:val="auto"/>
                <w:szCs w:val="21"/>
                <w:highlight w:val="none"/>
              </w:rPr>
              <w:t>序号</w:t>
            </w:r>
          </w:p>
        </w:tc>
        <w:tc>
          <w:tcPr>
            <w:tcW w:w="708" w:type="dxa"/>
            <w:vAlign w:val="center"/>
          </w:tcPr>
          <w:p w14:paraId="491EC26D">
            <w:pPr>
              <w:spacing w:before="312" w:after="0" w:line="360" w:lineRule="auto"/>
              <w:ind w:right="-2"/>
              <w:jc w:val="center"/>
              <w:rPr>
                <w:color w:val="auto"/>
                <w:szCs w:val="21"/>
                <w:highlight w:val="none"/>
              </w:rPr>
            </w:pPr>
            <w:r>
              <w:rPr>
                <w:rFonts w:hint="eastAsia"/>
                <w:color w:val="auto"/>
                <w:szCs w:val="21"/>
                <w:highlight w:val="none"/>
              </w:rPr>
              <w:t>岗位</w:t>
            </w:r>
          </w:p>
        </w:tc>
        <w:tc>
          <w:tcPr>
            <w:tcW w:w="843" w:type="dxa"/>
            <w:vAlign w:val="center"/>
          </w:tcPr>
          <w:p w14:paraId="65441889">
            <w:pPr>
              <w:spacing w:before="312" w:after="0" w:line="360" w:lineRule="auto"/>
              <w:ind w:right="-2"/>
              <w:jc w:val="center"/>
              <w:rPr>
                <w:color w:val="auto"/>
                <w:szCs w:val="21"/>
                <w:highlight w:val="none"/>
              </w:rPr>
            </w:pPr>
            <w:r>
              <w:rPr>
                <w:rFonts w:hint="eastAsia"/>
                <w:color w:val="auto"/>
                <w:szCs w:val="21"/>
                <w:highlight w:val="none"/>
              </w:rPr>
              <w:t>姓 名</w:t>
            </w:r>
          </w:p>
        </w:tc>
        <w:tc>
          <w:tcPr>
            <w:tcW w:w="727" w:type="dxa"/>
            <w:vAlign w:val="center"/>
          </w:tcPr>
          <w:p w14:paraId="4289110D">
            <w:pPr>
              <w:spacing w:before="312" w:after="0" w:line="360" w:lineRule="auto"/>
              <w:ind w:right="-2"/>
              <w:jc w:val="center"/>
              <w:rPr>
                <w:color w:val="auto"/>
                <w:szCs w:val="21"/>
                <w:highlight w:val="none"/>
              </w:rPr>
            </w:pPr>
            <w:r>
              <w:rPr>
                <w:rFonts w:hint="eastAsia"/>
                <w:color w:val="auto"/>
                <w:szCs w:val="21"/>
                <w:highlight w:val="none"/>
              </w:rPr>
              <w:t>性别</w:t>
            </w:r>
          </w:p>
        </w:tc>
        <w:tc>
          <w:tcPr>
            <w:tcW w:w="773" w:type="dxa"/>
            <w:vAlign w:val="center"/>
          </w:tcPr>
          <w:p w14:paraId="6DA2E9C6">
            <w:pPr>
              <w:spacing w:before="312" w:after="0" w:line="360" w:lineRule="auto"/>
              <w:ind w:right="-2"/>
              <w:jc w:val="center"/>
              <w:rPr>
                <w:color w:val="auto"/>
                <w:szCs w:val="21"/>
                <w:highlight w:val="none"/>
              </w:rPr>
            </w:pPr>
            <w:r>
              <w:rPr>
                <w:rFonts w:hint="eastAsia"/>
                <w:color w:val="auto"/>
                <w:szCs w:val="21"/>
                <w:highlight w:val="none"/>
              </w:rPr>
              <w:t>学历</w:t>
            </w:r>
          </w:p>
        </w:tc>
        <w:tc>
          <w:tcPr>
            <w:tcW w:w="707" w:type="dxa"/>
            <w:vAlign w:val="center"/>
          </w:tcPr>
          <w:p w14:paraId="04F0B1DA">
            <w:pPr>
              <w:spacing w:before="312" w:after="0" w:line="360" w:lineRule="auto"/>
              <w:ind w:right="-2"/>
              <w:jc w:val="center"/>
              <w:rPr>
                <w:color w:val="auto"/>
                <w:szCs w:val="21"/>
                <w:highlight w:val="none"/>
              </w:rPr>
            </w:pPr>
            <w:r>
              <w:rPr>
                <w:rFonts w:hint="eastAsia"/>
                <w:color w:val="auto"/>
                <w:szCs w:val="21"/>
                <w:highlight w:val="none"/>
              </w:rPr>
              <w:t>出生年月</w:t>
            </w:r>
          </w:p>
        </w:tc>
        <w:tc>
          <w:tcPr>
            <w:tcW w:w="734" w:type="dxa"/>
            <w:vAlign w:val="center"/>
          </w:tcPr>
          <w:p w14:paraId="1D45392F">
            <w:pPr>
              <w:spacing w:before="312" w:after="0" w:line="360" w:lineRule="auto"/>
              <w:ind w:right="-2"/>
              <w:jc w:val="center"/>
              <w:rPr>
                <w:color w:val="auto"/>
                <w:szCs w:val="21"/>
                <w:highlight w:val="none"/>
              </w:rPr>
            </w:pPr>
            <w:r>
              <w:rPr>
                <w:rFonts w:hint="eastAsia"/>
                <w:color w:val="auto"/>
                <w:szCs w:val="21"/>
                <w:highlight w:val="none"/>
              </w:rPr>
              <w:t>专业</w:t>
            </w:r>
          </w:p>
        </w:tc>
        <w:tc>
          <w:tcPr>
            <w:tcW w:w="1339" w:type="dxa"/>
            <w:vAlign w:val="center"/>
          </w:tcPr>
          <w:p w14:paraId="61924EF9">
            <w:pPr>
              <w:spacing w:before="312" w:after="0" w:line="360" w:lineRule="auto"/>
              <w:ind w:right="-2"/>
              <w:jc w:val="center"/>
              <w:rPr>
                <w:color w:val="auto"/>
                <w:szCs w:val="21"/>
                <w:highlight w:val="none"/>
              </w:rPr>
            </w:pPr>
            <w:r>
              <w:rPr>
                <w:rFonts w:hint="eastAsia"/>
                <w:color w:val="auto"/>
                <w:szCs w:val="21"/>
                <w:highlight w:val="none"/>
              </w:rPr>
              <w:t>从事同类岗位工作年限</w:t>
            </w:r>
          </w:p>
        </w:tc>
        <w:tc>
          <w:tcPr>
            <w:tcW w:w="1361" w:type="dxa"/>
            <w:vAlign w:val="center"/>
          </w:tcPr>
          <w:p w14:paraId="7F797958">
            <w:pPr>
              <w:spacing w:before="312" w:after="0" w:line="360" w:lineRule="auto"/>
              <w:ind w:right="-2"/>
              <w:jc w:val="center"/>
              <w:rPr>
                <w:color w:val="auto"/>
                <w:szCs w:val="21"/>
                <w:highlight w:val="none"/>
              </w:rPr>
            </w:pPr>
            <w:r>
              <w:rPr>
                <w:rFonts w:hint="eastAsia"/>
                <w:color w:val="auto"/>
                <w:szCs w:val="21"/>
                <w:highlight w:val="none"/>
              </w:rPr>
              <w:t>证书及编号</w:t>
            </w:r>
          </w:p>
        </w:tc>
        <w:tc>
          <w:tcPr>
            <w:tcW w:w="747" w:type="dxa"/>
            <w:vAlign w:val="center"/>
          </w:tcPr>
          <w:p w14:paraId="35894AF0">
            <w:pPr>
              <w:spacing w:before="312" w:after="0" w:line="360" w:lineRule="auto"/>
              <w:ind w:right="-2"/>
              <w:jc w:val="center"/>
              <w:rPr>
                <w:color w:val="auto"/>
                <w:szCs w:val="21"/>
                <w:highlight w:val="none"/>
              </w:rPr>
            </w:pPr>
            <w:r>
              <w:rPr>
                <w:rFonts w:hint="eastAsia"/>
                <w:color w:val="auto"/>
                <w:szCs w:val="21"/>
                <w:highlight w:val="none"/>
              </w:rPr>
              <w:t>备注</w:t>
            </w:r>
          </w:p>
        </w:tc>
      </w:tr>
      <w:tr w14:paraId="5DED9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580" w:type="dxa"/>
            <w:vAlign w:val="center"/>
          </w:tcPr>
          <w:p w14:paraId="4B8FD344">
            <w:pPr>
              <w:spacing w:after="0" w:line="360" w:lineRule="auto"/>
              <w:ind w:right="-2"/>
              <w:jc w:val="center"/>
              <w:rPr>
                <w:color w:val="auto"/>
                <w:szCs w:val="21"/>
                <w:highlight w:val="none"/>
              </w:rPr>
            </w:pPr>
          </w:p>
        </w:tc>
        <w:tc>
          <w:tcPr>
            <w:tcW w:w="708" w:type="dxa"/>
            <w:vAlign w:val="center"/>
          </w:tcPr>
          <w:p w14:paraId="4AD8A179">
            <w:pPr>
              <w:spacing w:after="0" w:line="360" w:lineRule="auto"/>
              <w:ind w:right="-2"/>
              <w:jc w:val="center"/>
              <w:rPr>
                <w:color w:val="auto"/>
                <w:szCs w:val="21"/>
                <w:highlight w:val="none"/>
              </w:rPr>
            </w:pPr>
          </w:p>
        </w:tc>
        <w:tc>
          <w:tcPr>
            <w:tcW w:w="843" w:type="dxa"/>
            <w:vAlign w:val="center"/>
          </w:tcPr>
          <w:p w14:paraId="6553A9FB">
            <w:pPr>
              <w:spacing w:after="0" w:line="360" w:lineRule="auto"/>
              <w:ind w:right="-2"/>
              <w:jc w:val="center"/>
              <w:rPr>
                <w:color w:val="auto"/>
                <w:szCs w:val="21"/>
                <w:highlight w:val="none"/>
              </w:rPr>
            </w:pPr>
          </w:p>
        </w:tc>
        <w:tc>
          <w:tcPr>
            <w:tcW w:w="727" w:type="dxa"/>
            <w:vAlign w:val="center"/>
          </w:tcPr>
          <w:p w14:paraId="26AD3E94">
            <w:pPr>
              <w:spacing w:after="0" w:line="360" w:lineRule="auto"/>
              <w:ind w:right="-2"/>
              <w:jc w:val="center"/>
              <w:rPr>
                <w:color w:val="auto"/>
                <w:szCs w:val="21"/>
                <w:highlight w:val="none"/>
              </w:rPr>
            </w:pPr>
          </w:p>
        </w:tc>
        <w:tc>
          <w:tcPr>
            <w:tcW w:w="773" w:type="dxa"/>
            <w:vAlign w:val="center"/>
          </w:tcPr>
          <w:p w14:paraId="7D9E48B6">
            <w:pPr>
              <w:spacing w:after="0" w:line="360" w:lineRule="auto"/>
              <w:ind w:right="-2"/>
              <w:jc w:val="center"/>
              <w:rPr>
                <w:color w:val="auto"/>
                <w:szCs w:val="21"/>
                <w:highlight w:val="none"/>
              </w:rPr>
            </w:pPr>
          </w:p>
        </w:tc>
        <w:tc>
          <w:tcPr>
            <w:tcW w:w="707" w:type="dxa"/>
            <w:vAlign w:val="center"/>
          </w:tcPr>
          <w:p w14:paraId="14FF9949">
            <w:pPr>
              <w:spacing w:after="0" w:line="360" w:lineRule="auto"/>
              <w:ind w:right="-2"/>
              <w:jc w:val="center"/>
              <w:rPr>
                <w:color w:val="auto"/>
                <w:szCs w:val="21"/>
                <w:highlight w:val="none"/>
              </w:rPr>
            </w:pPr>
          </w:p>
        </w:tc>
        <w:tc>
          <w:tcPr>
            <w:tcW w:w="734" w:type="dxa"/>
            <w:vAlign w:val="center"/>
          </w:tcPr>
          <w:p w14:paraId="411DFC4D">
            <w:pPr>
              <w:spacing w:after="0" w:line="360" w:lineRule="auto"/>
              <w:ind w:right="-2"/>
              <w:jc w:val="center"/>
              <w:rPr>
                <w:color w:val="auto"/>
                <w:szCs w:val="21"/>
                <w:highlight w:val="none"/>
              </w:rPr>
            </w:pPr>
          </w:p>
        </w:tc>
        <w:tc>
          <w:tcPr>
            <w:tcW w:w="1339" w:type="dxa"/>
            <w:vAlign w:val="center"/>
          </w:tcPr>
          <w:p w14:paraId="0DB6269E">
            <w:pPr>
              <w:spacing w:after="0" w:line="360" w:lineRule="auto"/>
              <w:ind w:right="-2"/>
              <w:jc w:val="center"/>
              <w:rPr>
                <w:color w:val="auto"/>
                <w:szCs w:val="21"/>
                <w:highlight w:val="none"/>
              </w:rPr>
            </w:pPr>
          </w:p>
        </w:tc>
        <w:tc>
          <w:tcPr>
            <w:tcW w:w="1361" w:type="dxa"/>
            <w:vAlign w:val="center"/>
          </w:tcPr>
          <w:p w14:paraId="6D7EF61F">
            <w:pPr>
              <w:spacing w:after="0" w:line="360" w:lineRule="auto"/>
              <w:ind w:right="-2"/>
              <w:jc w:val="center"/>
              <w:rPr>
                <w:color w:val="auto"/>
                <w:szCs w:val="21"/>
                <w:highlight w:val="none"/>
              </w:rPr>
            </w:pPr>
          </w:p>
        </w:tc>
        <w:tc>
          <w:tcPr>
            <w:tcW w:w="747" w:type="dxa"/>
            <w:vAlign w:val="center"/>
          </w:tcPr>
          <w:p w14:paraId="0DB87952">
            <w:pPr>
              <w:spacing w:after="0" w:line="360" w:lineRule="auto"/>
              <w:ind w:right="-2"/>
              <w:jc w:val="center"/>
              <w:rPr>
                <w:color w:val="auto"/>
                <w:szCs w:val="21"/>
                <w:highlight w:val="none"/>
              </w:rPr>
            </w:pPr>
          </w:p>
        </w:tc>
      </w:tr>
      <w:tr w14:paraId="6E83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580" w:type="dxa"/>
            <w:vAlign w:val="center"/>
          </w:tcPr>
          <w:p w14:paraId="3DBD3F51">
            <w:pPr>
              <w:spacing w:after="0" w:line="360" w:lineRule="auto"/>
              <w:ind w:right="-2"/>
              <w:jc w:val="center"/>
              <w:rPr>
                <w:color w:val="auto"/>
                <w:szCs w:val="21"/>
                <w:highlight w:val="none"/>
              </w:rPr>
            </w:pPr>
          </w:p>
        </w:tc>
        <w:tc>
          <w:tcPr>
            <w:tcW w:w="708" w:type="dxa"/>
            <w:vAlign w:val="center"/>
          </w:tcPr>
          <w:p w14:paraId="19B7349F">
            <w:pPr>
              <w:spacing w:after="0" w:line="360" w:lineRule="auto"/>
              <w:ind w:right="-2"/>
              <w:jc w:val="center"/>
              <w:rPr>
                <w:color w:val="auto"/>
                <w:szCs w:val="21"/>
                <w:highlight w:val="none"/>
              </w:rPr>
            </w:pPr>
          </w:p>
        </w:tc>
        <w:tc>
          <w:tcPr>
            <w:tcW w:w="843" w:type="dxa"/>
            <w:vAlign w:val="center"/>
          </w:tcPr>
          <w:p w14:paraId="42DCA312">
            <w:pPr>
              <w:spacing w:after="0" w:line="360" w:lineRule="auto"/>
              <w:ind w:right="-2"/>
              <w:jc w:val="center"/>
              <w:rPr>
                <w:color w:val="auto"/>
                <w:szCs w:val="21"/>
                <w:highlight w:val="none"/>
              </w:rPr>
            </w:pPr>
          </w:p>
        </w:tc>
        <w:tc>
          <w:tcPr>
            <w:tcW w:w="727" w:type="dxa"/>
            <w:vAlign w:val="center"/>
          </w:tcPr>
          <w:p w14:paraId="6C013A84">
            <w:pPr>
              <w:spacing w:after="0" w:line="360" w:lineRule="auto"/>
              <w:ind w:right="-2"/>
              <w:jc w:val="center"/>
              <w:rPr>
                <w:color w:val="auto"/>
                <w:szCs w:val="21"/>
                <w:highlight w:val="none"/>
              </w:rPr>
            </w:pPr>
          </w:p>
        </w:tc>
        <w:tc>
          <w:tcPr>
            <w:tcW w:w="773" w:type="dxa"/>
            <w:vAlign w:val="center"/>
          </w:tcPr>
          <w:p w14:paraId="509E3B55">
            <w:pPr>
              <w:spacing w:after="0" w:line="360" w:lineRule="auto"/>
              <w:ind w:right="-2"/>
              <w:jc w:val="center"/>
              <w:rPr>
                <w:color w:val="auto"/>
                <w:szCs w:val="21"/>
                <w:highlight w:val="none"/>
              </w:rPr>
            </w:pPr>
          </w:p>
        </w:tc>
        <w:tc>
          <w:tcPr>
            <w:tcW w:w="707" w:type="dxa"/>
            <w:vAlign w:val="center"/>
          </w:tcPr>
          <w:p w14:paraId="40172D98">
            <w:pPr>
              <w:spacing w:after="0" w:line="360" w:lineRule="auto"/>
              <w:ind w:right="-2"/>
              <w:jc w:val="center"/>
              <w:rPr>
                <w:color w:val="auto"/>
                <w:szCs w:val="21"/>
                <w:highlight w:val="none"/>
              </w:rPr>
            </w:pPr>
          </w:p>
        </w:tc>
        <w:tc>
          <w:tcPr>
            <w:tcW w:w="734" w:type="dxa"/>
            <w:vAlign w:val="center"/>
          </w:tcPr>
          <w:p w14:paraId="6BFCA31E">
            <w:pPr>
              <w:spacing w:after="0" w:line="360" w:lineRule="auto"/>
              <w:ind w:right="-2"/>
              <w:jc w:val="center"/>
              <w:rPr>
                <w:color w:val="auto"/>
                <w:szCs w:val="21"/>
                <w:highlight w:val="none"/>
              </w:rPr>
            </w:pPr>
          </w:p>
        </w:tc>
        <w:tc>
          <w:tcPr>
            <w:tcW w:w="1339" w:type="dxa"/>
            <w:vAlign w:val="center"/>
          </w:tcPr>
          <w:p w14:paraId="02A104C6">
            <w:pPr>
              <w:spacing w:after="0" w:line="360" w:lineRule="auto"/>
              <w:ind w:right="-2"/>
              <w:jc w:val="center"/>
              <w:rPr>
                <w:color w:val="auto"/>
                <w:szCs w:val="21"/>
                <w:highlight w:val="none"/>
              </w:rPr>
            </w:pPr>
          </w:p>
        </w:tc>
        <w:tc>
          <w:tcPr>
            <w:tcW w:w="1361" w:type="dxa"/>
            <w:vAlign w:val="center"/>
          </w:tcPr>
          <w:p w14:paraId="74D63AF2">
            <w:pPr>
              <w:spacing w:after="0" w:line="360" w:lineRule="auto"/>
              <w:ind w:right="-2"/>
              <w:jc w:val="center"/>
              <w:rPr>
                <w:color w:val="auto"/>
                <w:szCs w:val="21"/>
                <w:highlight w:val="none"/>
              </w:rPr>
            </w:pPr>
          </w:p>
        </w:tc>
        <w:tc>
          <w:tcPr>
            <w:tcW w:w="747" w:type="dxa"/>
            <w:vAlign w:val="center"/>
          </w:tcPr>
          <w:p w14:paraId="73D5CA59">
            <w:pPr>
              <w:spacing w:after="0" w:line="360" w:lineRule="auto"/>
              <w:ind w:right="-2"/>
              <w:jc w:val="center"/>
              <w:rPr>
                <w:color w:val="auto"/>
                <w:szCs w:val="21"/>
                <w:highlight w:val="none"/>
              </w:rPr>
            </w:pPr>
          </w:p>
        </w:tc>
      </w:tr>
      <w:tr w14:paraId="2258A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580" w:type="dxa"/>
            <w:vAlign w:val="center"/>
          </w:tcPr>
          <w:p w14:paraId="0E2F21C8">
            <w:pPr>
              <w:spacing w:after="0" w:line="360" w:lineRule="auto"/>
              <w:ind w:right="-2"/>
              <w:jc w:val="center"/>
              <w:rPr>
                <w:color w:val="auto"/>
                <w:szCs w:val="21"/>
                <w:highlight w:val="none"/>
              </w:rPr>
            </w:pPr>
          </w:p>
        </w:tc>
        <w:tc>
          <w:tcPr>
            <w:tcW w:w="708" w:type="dxa"/>
            <w:vAlign w:val="center"/>
          </w:tcPr>
          <w:p w14:paraId="5A123039">
            <w:pPr>
              <w:spacing w:after="0" w:line="360" w:lineRule="auto"/>
              <w:ind w:right="-2"/>
              <w:jc w:val="center"/>
              <w:rPr>
                <w:color w:val="auto"/>
                <w:szCs w:val="21"/>
                <w:highlight w:val="none"/>
              </w:rPr>
            </w:pPr>
          </w:p>
        </w:tc>
        <w:tc>
          <w:tcPr>
            <w:tcW w:w="843" w:type="dxa"/>
            <w:vAlign w:val="center"/>
          </w:tcPr>
          <w:p w14:paraId="1151B7BA">
            <w:pPr>
              <w:spacing w:after="0" w:line="360" w:lineRule="auto"/>
              <w:ind w:right="-2"/>
              <w:jc w:val="center"/>
              <w:rPr>
                <w:color w:val="auto"/>
                <w:szCs w:val="21"/>
                <w:highlight w:val="none"/>
              </w:rPr>
            </w:pPr>
          </w:p>
        </w:tc>
        <w:tc>
          <w:tcPr>
            <w:tcW w:w="727" w:type="dxa"/>
            <w:vAlign w:val="center"/>
          </w:tcPr>
          <w:p w14:paraId="7F4240C1">
            <w:pPr>
              <w:spacing w:after="0" w:line="360" w:lineRule="auto"/>
              <w:ind w:right="-2"/>
              <w:jc w:val="center"/>
              <w:rPr>
                <w:color w:val="auto"/>
                <w:szCs w:val="21"/>
                <w:highlight w:val="none"/>
              </w:rPr>
            </w:pPr>
          </w:p>
        </w:tc>
        <w:tc>
          <w:tcPr>
            <w:tcW w:w="773" w:type="dxa"/>
            <w:vAlign w:val="center"/>
          </w:tcPr>
          <w:p w14:paraId="20FA3F7B">
            <w:pPr>
              <w:spacing w:after="0" w:line="360" w:lineRule="auto"/>
              <w:ind w:right="-2"/>
              <w:jc w:val="center"/>
              <w:rPr>
                <w:color w:val="auto"/>
                <w:szCs w:val="21"/>
                <w:highlight w:val="none"/>
              </w:rPr>
            </w:pPr>
          </w:p>
        </w:tc>
        <w:tc>
          <w:tcPr>
            <w:tcW w:w="707" w:type="dxa"/>
            <w:vAlign w:val="center"/>
          </w:tcPr>
          <w:p w14:paraId="757C874D">
            <w:pPr>
              <w:spacing w:after="0" w:line="360" w:lineRule="auto"/>
              <w:ind w:right="-2"/>
              <w:jc w:val="center"/>
              <w:rPr>
                <w:color w:val="auto"/>
                <w:szCs w:val="21"/>
                <w:highlight w:val="none"/>
              </w:rPr>
            </w:pPr>
          </w:p>
        </w:tc>
        <w:tc>
          <w:tcPr>
            <w:tcW w:w="734" w:type="dxa"/>
            <w:vAlign w:val="center"/>
          </w:tcPr>
          <w:p w14:paraId="4D8091F5">
            <w:pPr>
              <w:spacing w:after="0" w:line="360" w:lineRule="auto"/>
              <w:ind w:right="-2"/>
              <w:jc w:val="center"/>
              <w:rPr>
                <w:color w:val="auto"/>
                <w:szCs w:val="21"/>
                <w:highlight w:val="none"/>
              </w:rPr>
            </w:pPr>
          </w:p>
        </w:tc>
        <w:tc>
          <w:tcPr>
            <w:tcW w:w="1339" w:type="dxa"/>
            <w:vAlign w:val="center"/>
          </w:tcPr>
          <w:p w14:paraId="63D8956B">
            <w:pPr>
              <w:spacing w:after="0" w:line="360" w:lineRule="auto"/>
              <w:ind w:right="-2"/>
              <w:jc w:val="center"/>
              <w:rPr>
                <w:color w:val="auto"/>
                <w:szCs w:val="21"/>
                <w:highlight w:val="none"/>
              </w:rPr>
            </w:pPr>
          </w:p>
        </w:tc>
        <w:tc>
          <w:tcPr>
            <w:tcW w:w="1361" w:type="dxa"/>
            <w:vAlign w:val="center"/>
          </w:tcPr>
          <w:p w14:paraId="2B8A7455">
            <w:pPr>
              <w:spacing w:after="0" w:line="360" w:lineRule="auto"/>
              <w:ind w:right="-2"/>
              <w:jc w:val="center"/>
              <w:rPr>
                <w:color w:val="auto"/>
                <w:szCs w:val="21"/>
                <w:highlight w:val="none"/>
              </w:rPr>
            </w:pPr>
          </w:p>
        </w:tc>
        <w:tc>
          <w:tcPr>
            <w:tcW w:w="747" w:type="dxa"/>
            <w:vAlign w:val="center"/>
          </w:tcPr>
          <w:p w14:paraId="1E87FE25">
            <w:pPr>
              <w:spacing w:after="0" w:line="360" w:lineRule="auto"/>
              <w:ind w:right="-2"/>
              <w:jc w:val="center"/>
              <w:rPr>
                <w:color w:val="auto"/>
                <w:szCs w:val="21"/>
                <w:highlight w:val="none"/>
              </w:rPr>
            </w:pPr>
          </w:p>
        </w:tc>
      </w:tr>
      <w:tr w14:paraId="75579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580" w:type="dxa"/>
            <w:vAlign w:val="center"/>
          </w:tcPr>
          <w:p w14:paraId="17C89220">
            <w:pPr>
              <w:spacing w:after="0" w:line="360" w:lineRule="auto"/>
              <w:ind w:right="-2"/>
              <w:jc w:val="center"/>
              <w:rPr>
                <w:color w:val="auto"/>
                <w:szCs w:val="21"/>
                <w:highlight w:val="none"/>
              </w:rPr>
            </w:pPr>
          </w:p>
        </w:tc>
        <w:tc>
          <w:tcPr>
            <w:tcW w:w="708" w:type="dxa"/>
            <w:vAlign w:val="center"/>
          </w:tcPr>
          <w:p w14:paraId="3C36394D">
            <w:pPr>
              <w:spacing w:after="0" w:line="360" w:lineRule="auto"/>
              <w:ind w:right="-2"/>
              <w:jc w:val="center"/>
              <w:rPr>
                <w:color w:val="auto"/>
                <w:szCs w:val="21"/>
                <w:highlight w:val="none"/>
              </w:rPr>
            </w:pPr>
          </w:p>
        </w:tc>
        <w:tc>
          <w:tcPr>
            <w:tcW w:w="843" w:type="dxa"/>
            <w:vAlign w:val="center"/>
          </w:tcPr>
          <w:p w14:paraId="7D434CEB">
            <w:pPr>
              <w:spacing w:after="0" w:line="360" w:lineRule="auto"/>
              <w:ind w:right="-2"/>
              <w:jc w:val="center"/>
              <w:rPr>
                <w:color w:val="auto"/>
                <w:szCs w:val="21"/>
                <w:highlight w:val="none"/>
              </w:rPr>
            </w:pPr>
          </w:p>
        </w:tc>
        <w:tc>
          <w:tcPr>
            <w:tcW w:w="727" w:type="dxa"/>
            <w:vAlign w:val="center"/>
          </w:tcPr>
          <w:p w14:paraId="5F9DDF4E">
            <w:pPr>
              <w:spacing w:after="0" w:line="360" w:lineRule="auto"/>
              <w:ind w:right="-2"/>
              <w:jc w:val="center"/>
              <w:rPr>
                <w:color w:val="auto"/>
                <w:szCs w:val="21"/>
                <w:highlight w:val="none"/>
              </w:rPr>
            </w:pPr>
          </w:p>
        </w:tc>
        <w:tc>
          <w:tcPr>
            <w:tcW w:w="773" w:type="dxa"/>
            <w:vAlign w:val="center"/>
          </w:tcPr>
          <w:p w14:paraId="4D534AF3">
            <w:pPr>
              <w:spacing w:after="0" w:line="360" w:lineRule="auto"/>
              <w:ind w:right="-2"/>
              <w:jc w:val="center"/>
              <w:rPr>
                <w:color w:val="auto"/>
                <w:szCs w:val="21"/>
                <w:highlight w:val="none"/>
              </w:rPr>
            </w:pPr>
          </w:p>
        </w:tc>
        <w:tc>
          <w:tcPr>
            <w:tcW w:w="707" w:type="dxa"/>
            <w:vAlign w:val="center"/>
          </w:tcPr>
          <w:p w14:paraId="0A83B638">
            <w:pPr>
              <w:spacing w:after="0" w:line="360" w:lineRule="auto"/>
              <w:ind w:right="-2"/>
              <w:jc w:val="center"/>
              <w:rPr>
                <w:color w:val="auto"/>
                <w:szCs w:val="21"/>
                <w:highlight w:val="none"/>
              </w:rPr>
            </w:pPr>
          </w:p>
        </w:tc>
        <w:tc>
          <w:tcPr>
            <w:tcW w:w="734" w:type="dxa"/>
            <w:vAlign w:val="center"/>
          </w:tcPr>
          <w:p w14:paraId="0F57A742">
            <w:pPr>
              <w:spacing w:after="0" w:line="360" w:lineRule="auto"/>
              <w:ind w:right="-2"/>
              <w:jc w:val="center"/>
              <w:rPr>
                <w:color w:val="auto"/>
                <w:szCs w:val="21"/>
                <w:highlight w:val="none"/>
              </w:rPr>
            </w:pPr>
          </w:p>
        </w:tc>
        <w:tc>
          <w:tcPr>
            <w:tcW w:w="1339" w:type="dxa"/>
            <w:vAlign w:val="center"/>
          </w:tcPr>
          <w:p w14:paraId="6E9252C7">
            <w:pPr>
              <w:spacing w:after="0" w:line="360" w:lineRule="auto"/>
              <w:ind w:right="-2"/>
              <w:jc w:val="center"/>
              <w:rPr>
                <w:color w:val="auto"/>
                <w:szCs w:val="21"/>
                <w:highlight w:val="none"/>
              </w:rPr>
            </w:pPr>
          </w:p>
        </w:tc>
        <w:tc>
          <w:tcPr>
            <w:tcW w:w="1361" w:type="dxa"/>
            <w:vAlign w:val="center"/>
          </w:tcPr>
          <w:p w14:paraId="5367C1F8">
            <w:pPr>
              <w:spacing w:after="0" w:line="360" w:lineRule="auto"/>
              <w:ind w:right="-2"/>
              <w:jc w:val="center"/>
              <w:rPr>
                <w:color w:val="auto"/>
                <w:szCs w:val="21"/>
                <w:highlight w:val="none"/>
              </w:rPr>
            </w:pPr>
          </w:p>
        </w:tc>
        <w:tc>
          <w:tcPr>
            <w:tcW w:w="747" w:type="dxa"/>
            <w:vAlign w:val="center"/>
          </w:tcPr>
          <w:p w14:paraId="46366C3C">
            <w:pPr>
              <w:spacing w:after="0" w:line="360" w:lineRule="auto"/>
              <w:ind w:right="-2"/>
              <w:jc w:val="center"/>
              <w:rPr>
                <w:color w:val="auto"/>
                <w:szCs w:val="21"/>
                <w:highlight w:val="none"/>
              </w:rPr>
            </w:pPr>
          </w:p>
        </w:tc>
      </w:tr>
      <w:tr w14:paraId="1BC27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580" w:type="dxa"/>
            <w:vAlign w:val="center"/>
          </w:tcPr>
          <w:p w14:paraId="60551F8E">
            <w:pPr>
              <w:spacing w:after="0" w:line="360" w:lineRule="auto"/>
              <w:ind w:right="-2"/>
              <w:jc w:val="center"/>
              <w:rPr>
                <w:color w:val="auto"/>
                <w:szCs w:val="21"/>
                <w:highlight w:val="none"/>
              </w:rPr>
            </w:pPr>
          </w:p>
        </w:tc>
        <w:tc>
          <w:tcPr>
            <w:tcW w:w="708" w:type="dxa"/>
            <w:vAlign w:val="center"/>
          </w:tcPr>
          <w:p w14:paraId="41042DDD">
            <w:pPr>
              <w:spacing w:after="0" w:line="360" w:lineRule="auto"/>
              <w:ind w:right="-2"/>
              <w:jc w:val="center"/>
              <w:rPr>
                <w:color w:val="auto"/>
                <w:szCs w:val="21"/>
                <w:highlight w:val="none"/>
              </w:rPr>
            </w:pPr>
          </w:p>
        </w:tc>
        <w:tc>
          <w:tcPr>
            <w:tcW w:w="843" w:type="dxa"/>
            <w:vAlign w:val="center"/>
          </w:tcPr>
          <w:p w14:paraId="3AA23CAB">
            <w:pPr>
              <w:spacing w:after="0" w:line="360" w:lineRule="auto"/>
              <w:ind w:right="-2"/>
              <w:jc w:val="center"/>
              <w:rPr>
                <w:color w:val="auto"/>
                <w:szCs w:val="21"/>
                <w:highlight w:val="none"/>
              </w:rPr>
            </w:pPr>
          </w:p>
        </w:tc>
        <w:tc>
          <w:tcPr>
            <w:tcW w:w="727" w:type="dxa"/>
            <w:vAlign w:val="center"/>
          </w:tcPr>
          <w:p w14:paraId="68FE9E89">
            <w:pPr>
              <w:spacing w:after="0" w:line="360" w:lineRule="auto"/>
              <w:ind w:right="-2"/>
              <w:jc w:val="center"/>
              <w:rPr>
                <w:color w:val="auto"/>
                <w:szCs w:val="21"/>
                <w:highlight w:val="none"/>
              </w:rPr>
            </w:pPr>
          </w:p>
        </w:tc>
        <w:tc>
          <w:tcPr>
            <w:tcW w:w="773" w:type="dxa"/>
            <w:vAlign w:val="center"/>
          </w:tcPr>
          <w:p w14:paraId="509D51A1">
            <w:pPr>
              <w:spacing w:after="0" w:line="360" w:lineRule="auto"/>
              <w:ind w:right="-2"/>
              <w:jc w:val="center"/>
              <w:rPr>
                <w:color w:val="auto"/>
                <w:szCs w:val="21"/>
                <w:highlight w:val="none"/>
              </w:rPr>
            </w:pPr>
          </w:p>
        </w:tc>
        <w:tc>
          <w:tcPr>
            <w:tcW w:w="707" w:type="dxa"/>
            <w:vAlign w:val="center"/>
          </w:tcPr>
          <w:p w14:paraId="63C27611">
            <w:pPr>
              <w:spacing w:after="0" w:line="360" w:lineRule="auto"/>
              <w:ind w:right="-2"/>
              <w:jc w:val="center"/>
              <w:rPr>
                <w:color w:val="auto"/>
                <w:szCs w:val="21"/>
                <w:highlight w:val="none"/>
              </w:rPr>
            </w:pPr>
          </w:p>
        </w:tc>
        <w:tc>
          <w:tcPr>
            <w:tcW w:w="734" w:type="dxa"/>
            <w:vAlign w:val="center"/>
          </w:tcPr>
          <w:p w14:paraId="4BA281CC">
            <w:pPr>
              <w:spacing w:after="0" w:line="360" w:lineRule="auto"/>
              <w:ind w:right="-2"/>
              <w:jc w:val="center"/>
              <w:rPr>
                <w:color w:val="auto"/>
                <w:szCs w:val="21"/>
                <w:highlight w:val="none"/>
              </w:rPr>
            </w:pPr>
          </w:p>
        </w:tc>
        <w:tc>
          <w:tcPr>
            <w:tcW w:w="1339" w:type="dxa"/>
            <w:vAlign w:val="center"/>
          </w:tcPr>
          <w:p w14:paraId="4C78E123">
            <w:pPr>
              <w:spacing w:after="0" w:line="360" w:lineRule="auto"/>
              <w:ind w:right="-2"/>
              <w:jc w:val="center"/>
              <w:rPr>
                <w:color w:val="auto"/>
                <w:szCs w:val="21"/>
                <w:highlight w:val="none"/>
              </w:rPr>
            </w:pPr>
          </w:p>
        </w:tc>
        <w:tc>
          <w:tcPr>
            <w:tcW w:w="1361" w:type="dxa"/>
            <w:vAlign w:val="center"/>
          </w:tcPr>
          <w:p w14:paraId="19476AD0">
            <w:pPr>
              <w:spacing w:after="0" w:line="360" w:lineRule="auto"/>
              <w:ind w:right="-2"/>
              <w:jc w:val="center"/>
              <w:rPr>
                <w:color w:val="auto"/>
                <w:szCs w:val="21"/>
                <w:highlight w:val="none"/>
              </w:rPr>
            </w:pPr>
          </w:p>
        </w:tc>
        <w:tc>
          <w:tcPr>
            <w:tcW w:w="747" w:type="dxa"/>
            <w:vAlign w:val="center"/>
          </w:tcPr>
          <w:p w14:paraId="206DD117">
            <w:pPr>
              <w:spacing w:after="0" w:line="360" w:lineRule="auto"/>
              <w:ind w:right="-2"/>
              <w:jc w:val="center"/>
              <w:rPr>
                <w:color w:val="auto"/>
                <w:szCs w:val="21"/>
                <w:highlight w:val="none"/>
              </w:rPr>
            </w:pPr>
          </w:p>
        </w:tc>
      </w:tr>
      <w:tr w14:paraId="799C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580" w:type="dxa"/>
            <w:vAlign w:val="center"/>
          </w:tcPr>
          <w:p w14:paraId="192D434B">
            <w:pPr>
              <w:spacing w:after="0" w:line="360" w:lineRule="auto"/>
              <w:ind w:right="-2"/>
              <w:jc w:val="center"/>
              <w:rPr>
                <w:color w:val="auto"/>
                <w:szCs w:val="21"/>
                <w:highlight w:val="none"/>
              </w:rPr>
            </w:pPr>
          </w:p>
        </w:tc>
        <w:tc>
          <w:tcPr>
            <w:tcW w:w="708" w:type="dxa"/>
            <w:vAlign w:val="center"/>
          </w:tcPr>
          <w:p w14:paraId="06B6B9F7">
            <w:pPr>
              <w:spacing w:after="0" w:line="360" w:lineRule="auto"/>
              <w:ind w:right="-2"/>
              <w:jc w:val="center"/>
              <w:rPr>
                <w:color w:val="auto"/>
                <w:szCs w:val="21"/>
                <w:highlight w:val="none"/>
              </w:rPr>
            </w:pPr>
          </w:p>
        </w:tc>
        <w:tc>
          <w:tcPr>
            <w:tcW w:w="843" w:type="dxa"/>
            <w:vAlign w:val="center"/>
          </w:tcPr>
          <w:p w14:paraId="54CF3BDA">
            <w:pPr>
              <w:spacing w:after="0" w:line="360" w:lineRule="auto"/>
              <w:ind w:right="-2"/>
              <w:jc w:val="center"/>
              <w:rPr>
                <w:color w:val="auto"/>
                <w:szCs w:val="21"/>
                <w:highlight w:val="none"/>
              </w:rPr>
            </w:pPr>
          </w:p>
        </w:tc>
        <w:tc>
          <w:tcPr>
            <w:tcW w:w="727" w:type="dxa"/>
            <w:vAlign w:val="center"/>
          </w:tcPr>
          <w:p w14:paraId="18387E65">
            <w:pPr>
              <w:spacing w:after="0" w:line="360" w:lineRule="auto"/>
              <w:ind w:right="-2"/>
              <w:jc w:val="center"/>
              <w:rPr>
                <w:color w:val="auto"/>
                <w:szCs w:val="21"/>
                <w:highlight w:val="none"/>
              </w:rPr>
            </w:pPr>
          </w:p>
        </w:tc>
        <w:tc>
          <w:tcPr>
            <w:tcW w:w="773" w:type="dxa"/>
            <w:vAlign w:val="center"/>
          </w:tcPr>
          <w:p w14:paraId="766BA2B7">
            <w:pPr>
              <w:spacing w:after="0" w:line="360" w:lineRule="auto"/>
              <w:ind w:right="-2"/>
              <w:jc w:val="center"/>
              <w:rPr>
                <w:color w:val="auto"/>
                <w:szCs w:val="21"/>
                <w:highlight w:val="none"/>
              </w:rPr>
            </w:pPr>
          </w:p>
        </w:tc>
        <w:tc>
          <w:tcPr>
            <w:tcW w:w="707" w:type="dxa"/>
            <w:vAlign w:val="center"/>
          </w:tcPr>
          <w:p w14:paraId="3A93E685">
            <w:pPr>
              <w:spacing w:after="0" w:line="360" w:lineRule="auto"/>
              <w:ind w:right="-2"/>
              <w:jc w:val="center"/>
              <w:rPr>
                <w:color w:val="auto"/>
                <w:szCs w:val="21"/>
                <w:highlight w:val="none"/>
              </w:rPr>
            </w:pPr>
          </w:p>
        </w:tc>
        <w:tc>
          <w:tcPr>
            <w:tcW w:w="734" w:type="dxa"/>
            <w:vAlign w:val="center"/>
          </w:tcPr>
          <w:p w14:paraId="6C8BA6FE">
            <w:pPr>
              <w:spacing w:after="0" w:line="360" w:lineRule="auto"/>
              <w:ind w:right="-2"/>
              <w:jc w:val="center"/>
              <w:rPr>
                <w:color w:val="auto"/>
                <w:szCs w:val="21"/>
                <w:highlight w:val="none"/>
              </w:rPr>
            </w:pPr>
          </w:p>
        </w:tc>
        <w:tc>
          <w:tcPr>
            <w:tcW w:w="1339" w:type="dxa"/>
            <w:vAlign w:val="center"/>
          </w:tcPr>
          <w:p w14:paraId="48E27AB7">
            <w:pPr>
              <w:spacing w:after="0" w:line="360" w:lineRule="auto"/>
              <w:ind w:right="-2"/>
              <w:jc w:val="center"/>
              <w:rPr>
                <w:color w:val="auto"/>
                <w:szCs w:val="21"/>
                <w:highlight w:val="none"/>
              </w:rPr>
            </w:pPr>
          </w:p>
        </w:tc>
        <w:tc>
          <w:tcPr>
            <w:tcW w:w="1361" w:type="dxa"/>
            <w:vAlign w:val="center"/>
          </w:tcPr>
          <w:p w14:paraId="31987CA9">
            <w:pPr>
              <w:spacing w:after="0" w:line="360" w:lineRule="auto"/>
              <w:ind w:right="-2"/>
              <w:jc w:val="center"/>
              <w:rPr>
                <w:color w:val="auto"/>
                <w:szCs w:val="21"/>
                <w:highlight w:val="none"/>
              </w:rPr>
            </w:pPr>
          </w:p>
        </w:tc>
        <w:tc>
          <w:tcPr>
            <w:tcW w:w="747" w:type="dxa"/>
            <w:vAlign w:val="center"/>
          </w:tcPr>
          <w:p w14:paraId="59D417C3">
            <w:pPr>
              <w:spacing w:after="0" w:line="360" w:lineRule="auto"/>
              <w:ind w:right="-2"/>
              <w:jc w:val="center"/>
              <w:rPr>
                <w:color w:val="auto"/>
                <w:szCs w:val="21"/>
                <w:highlight w:val="none"/>
              </w:rPr>
            </w:pPr>
          </w:p>
        </w:tc>
      </w:tr>
      <w:tr w14:paraId="7C2E6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580" w:type="dxa"/>
            <w:vAlign w:val="center"/>
          </w:tcPr>
          <w:p w14:paraId="12139565">
            <w:pPr>
              <w:spacing w:after="0" w:line="360" w:lineRule="auto"/>
              <w:ind w:right="-2"/>
              <w:jc w:val="center"/>
              <w:rPr>
                <w:color w:val="auto"/>
                <w:szCs w:val="21"/>
                <w:highlight w:val="none"/>
              </w:rPr>
            </w:pPr>
          </w:p>
        </w:tc>
        <w:tc>
          <w:tcPr>
            <w:tcW w:w="708" w:type="dxa"/>
            <w:vAlign w:val="center"/>
          </w:tcPr>
          <w:p w14:paraId="02A51AD6">
            <w:pPr>
              <w:spacing w:after="0" w:line="360" w:lineRule="auto"/>
              <w:ind w:right="-2"/>
              <w:jc w:val="center"/>
              <w:rPr>
                <w:color w:val="auto"/>
                <w:szCs w:val="21"/>
                <w:highlight w:val="none"/>
              </w:rPr>
            </w:pPr>
          </w:p>
        </w:tc>
        <w:tc>
          <w:tcPr>
            <w:tcW w:w="843" w:type="dxa"/>
            <w:vAlign w:val="center"/>
          </w:tcPr>
          <w:p w14:paraId="218B64DB">
            <w:pPr>
              <w:spacing w:after="0" w:line="360" w:lineRule="auto"/>
              <w:ind w:right="-2"/>
              <w:jc w:val="center"/>
              <w:rPr>
                <w:color w:val="auto"/>
                <w:szCs w:val="21"/>
                <w:highlight w:val="none"/>
              </w:rPr>
            </w:pPr>
          </w:p>
        </w:tc>
        <w:tc>
          <w:tcPr>
            <w:tcW w:w="727" w:type="dxa"/>
            <w:vAlign w:val="center"/>
          </w:tcPr>
          <w:p w14:paraId="7B4227F7">
            <w:pPr>
              <w:spacing w:after="0" w:line="360" w:lineRule="auto"/>
              <w:ind w:right="-2"/>
              <w:jc w:val="center"/>
              <w:rPr>
                <w:color w:val="auto"/>
                <w:szCs w:val="21"/>
                <w:highlight w:val="none"/>
              </w:rPr>
            </w:pPr>
          </w:p>
        </w:tc>
        <w:tc>
          <w:tcPr>
            <w:tcW w:w="773" w:type="dxa"/>
            <w:vAlign w:val="center"/>
          </w:tcPr>
          <w:p w14:paraId="0A67F898">
            <w:pPr>
              <w:spacing w:after="0" w:line="360" w:lineRule="auto"/>
              <w:ind w:right="-2"/>
              <w:jc w:val="center"/>
              <w:rPr>
                <w:color w:val="auto"/>
                <w:szCs w:val="21"/>
                <w:highlight w:val="none"/>
              </w:rPr>
            </w:pPr>
          </w:p>
        </w:tc>
        <w:tc>
          <w:tcPr>
            <w:tcW w:w="707" w:type="dxa"/>
            <w:vAlign w:val="center"/>
          </w:tcPr>
          <w:p w14:paraId="055E188E">
            <w:pPr>
              <w:spacing w:after="0" w:line="360" w:lineRule="auto"/>
              <w:ind w:right="-2"/>
              <w:jc w:val="center"/>
              <w:rPr>
                <w:color w:val="auto"/>
                <w:szCs w:val="21"/>
                <w:highlight w:val="none"/>
              </w:rPr>
            </w:pPr>
          </w:p>
        </w:tc>
        <w:tc>
          <w:tcPr>
            <w:tcW w:w="734" w:type="dxa"/>
            <w:vAlign w:val="center"/>
          </w:tcPr>
          <w:p w14:paraId="186AA64A">
            <w:pPr>
              <w:spacing w:after="0" w:line="360" w:lineRule="auto"/>
              <w:ind w:right="-2"/>
              <w:jc w:val="center"/>
              <w:rPr>
                <w:color w:val="auto"/>
                <w:szCs w:val="21"/>
                <w:highlight w:val="none"/>
              </w:rPr>
            </w:pPr>
          </w:p>
        </w:tc>
        <w:tc>
          <w:tcPr>
            <w:tcW w:w="1339" w:type="dxa"/>
            <w:vAlign w:val="center"/>
          </w:tcPr>
          <w:p w14:paraId="38D27428">
            <w:pPr>
              <w:spacing w:after="0" w:line="360" w:lineRule="auto"/>
              <w:ind w:right="-2"/>
              <w:jc w:val="center"/>
              <w:rPr>
                <w:color w:val="auto"/>
                <w:szCs w:val="21"/>
                <w:highlight w:val="none"/>
              </w:rPr>
            </w:pPr>
          </w:p>
        </w:tc>
        <w:tc>
          <w:tcPr>
            <w:tcW w:w="1361" w:type="dxa"/>
            <w:vAlign w:val="center"/>
          </w:tcPr>
          <w:p w14:paraId="2CACF74F">
            <w:pPr>
              <w:spacing w:after="0" w:line="360" w:lineRule="auto"/>
              <w:ind w:right="-2"/>
              <w:jc w:val="center"/>
              <w:rPr>
                <w:color w:val="auto"/>
                <w:szCs w:val="21"/>
                <w:highlight w:val="none"/>
              </w:rPr>
            </w:pPr>
          </w:p>
        </w:tc>
        <w:tc>
          <w:tcPr>
            <w:tcW w:w="747" w:type="dxa"/>
            <w:vAlign w:val="center"/>
          </w:tcPr>
          <w:p w14:paraId="01230C9F">
            <w:pPr>
              <w:spacing w:after="0" w:line="360" w:lineRule="auto"/>
              <w:ind w:right="-2"/>
              <w:jc w:val="center"/>
              <w:rPr>
                <w:color w:val="auto"/>
                <w:szCs w:val="21"/>
                <w:highlight w:val="none"/>
              </w:rPr>
            </w:pPr>
          </w:p>
        </w:tc>
      </w:tr>
      <w:tr w14:paraId="45CA3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580" w:type="dxa"/>
            <w:vAlign w:val="center"/>
          </w:tcPr>
          <w:p w14:paraId="79725E04">
            <w:pPr>
              <w:spacing w:after="0" w:line="360" w:lineRule="auto"/>
              <w:ind w:right="-2"/>
              <w:jc w:val="center"/>
              <w:rPr>
                <w:color w:val="auto"/>
                <w:szCs w:val="21"/>
                <w:highlight w:val="none"/>
              </w:rPr>
            </w:pPr>
          </w:p>
        </w:tc>
        <w:tc>
          <w:tcPr>
            <w:tcW w:w="708" w:type="dxa"/>
            <w:vAlign w:val="center"/>
          </w:tcPr>
          <w:p w14:paraId="1187B152">
            <w:pPr>
              <w:spacing w:after="0" w:line="360" w:lineRule="auto"/>
              <w:ind w:right="-2"/>
              <w:jc w:val="center"/>
              <w:rPr>
                <w:color w:val="auto"/>
                <w:szCs w:val="21"/>
                <w:highlight w:val="none"/>
              </w:rPr>
            </w:pPr>
          </w:p>
        </w:tc>
        <w:tc>
          <w:tcPr>
            <w:tcW w:w="843" w:type="dxa"/>
            <w:vAlign w:val="center"/>
          </w:tcPr>
          <w:p w14:paraId="0A95C5F7">
            <w:pPr>
              <w:spacing w:after="0" w:line="360" w:lineRule="auto"/>
              <w:ind w:right="-2"/>
              <w:jc w:val="center"/>
              <w:rPr>
                <w:color w:val="auto"/>
                <w:szCs w:val="21"/>
                <w:highlight w:val="none"/>
              </w:rPr>
            </w:pPr>
          </w:p>
        </w:tc>
        <w:tc>
          <w:tcPr>
            <w:tcW w:w="727" w:type="dxa"/>
            <w:vAlign w:val="center"/>
          </w:tcPr>
          <w:p w14:paraId="35A13B96">
            <w:pPr>
              <w:spacing w:after="0" w:line="360" w:lineRule="auto"/>
              <w:ind w:right="-2"/>
              <w:jc w:val="center"/>
              <w:rPr>
                <w:color w:val="auto"/>
                <w:szCs w:val="21"/>
                <w:highlight w:val="none"/>
              </w:rPr>
            </w:pPr>
          </w:p>
        </w:tc>
        <w:tc>
          <w:tcPr>
            <w:tcW w:w="773" w:type="dxa"/>
            <w:vAlign w:val="center"/>
          </w:tcPr>
          <w:p w14:paraId="041E5538">
            <w:pPr>
              <w:spacing w:after="0" w:line="360" w:lineRule="auto"/>
              <w:ind w:right="-2"/>
              <w:jc w:val="center"/>
              <w:rPr>
                <w:color w:val="auto"/>
                <w:szCs w:val="21"/>
                <w:highlight w:val="none"/>
              </w:rPr>
            </w:pPr>
          </w:p>
        </w:tc>
        <w:tc>
          <w:tcPr>
            <w:tcW w:w="707" w:type="dxa"/>
            <w:vAlign w:val="center"/>
          </w:tcPr>
          <w:p w14:paraId="5BBADA74">
            <w:pPr>
              <w:spacing w:after="0" w:line="360" w:lineRule="auto"/>
              <w:ind w:right="-2"/>
              <w:jc w:val="center"/>
              <w:rPr>
                <w:color w:val="auto"/>
                <w:szCs w:val="21"/>
                <w:highlight w:val="none"/>
              </w:rPr>
            </w:pPr>
          </w:p>
        </w:tc>
        <w:tc>
          <w:tcPr>
            <w:tcW w:w="734" w:type="dxa"/>
            <w:vAlign w:val="center"/>
          </w:tcPr>
          <w:p w14:paraId="24ABE64E">
            <w:pPr>
              <w:spacing w:after="0" w:line="360" w:lineRule="auto"/>
              <w:ind w:right="-2"/>
              <w:jc w:val="center"/>
              <w:rPr>
                <w:color w:val="auto"/>
                <w:szCs w:val="21"/>
                <w:highlight w:val="none"/>
              </w:rPr>
            </w:pPr>
          </w:p>
        </w:tc>
        <w:tc>
          <w:tcPr>
            <w:tcW w:w="1339" w:type="dxa"/>
            <w:vAlign w:val="center"/>
          </w:tcPr>
          <w:p w14:paraId="6E347199">
            <w:pPr>
              <w:spacing w:after="0" w:line="360" w:lineRule="auto"/>
              <w:ind w:right="-2"/>
              <w:jc w:val="center"/>
              <w:rPr>
                <w:color w:val="auto"/>
                <w:szCs w:val="21"/>
                <w:highlight w:val="none"/>
              </w:rPr>
            </w:pPr>
          </w:p>
        </w:tc>
        <w:tc>
          <w:tcPr>
            <w:tcW w:w="1361" w:type="dxa"/>
            <w:vAlign w:val="center"/>
          </w:tcPr>
          <w:p w14:paraId="7D029D06">
            <w:pPr>
              <w:spacing w:after="0" w:line="360" w:lineRule="auto"/>
              <w:ind w:right="-2"/>
              <w:jc w:val="center"/>
              <w:rPr>
                <w:color w:val="auto"/>
                <w:szCs w:val="21"/>
                <w:highlight w:val="none"/>
              </w:rPr>
            </w:pPr>
          </w:p>
        </w:tc>
        <w:tc>
          <w:tcPr>
            <w:tcW w:w="747" w:type="dxa"/>
            <w:vAlign w:val="center"/>
          </w:tcPr>
          <w:p w14:paraId="4AFFC2DF">
            <w:pPr>
              <w:spacing w:after="0" w:line="360" w:lineRule="auto"/>
              <w:ind w:right="-2"/>
              <w:jc w:val="center"/>
              <w:rPr>
                <w:color w:val="auto"/>
                <w:szCs w:val="21"/>
                <w:highlight w:val="none"/>
              </w:rPr>
            </w:pPr>
          </w:p>
        </w:tc>
      </w:tr>
      <w:tr w14:paraId="66306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580" w:type="dxa"/>
            <w:vAlign w:val="center"/>
          </w:tcPr>
          <w:p w14:paraId="6F7A067E">
            <w:pPr>
              <w:spacing w:after="0" w:line="360" w:lineRule="auto"/>
              <w:ind w:right="-2"/>
              <w:jc w:val="center"/>
              <w:rPr>
                <w:color w:val="auto"/>
                <w:szCs w:val="21"/>
                <w:highlight w:val="none"/>
              </w:rPr>
            </w:pPr>
          </w:p>
        </w:tc>
        <w:tc>
          <w:tcPr>
            <w:tcW w:w="708" w:type="dxa"/>
            <w:vAlign w:val="center"/>
          </w:tcPr>
          <w:p w14:paraId="22875FC4">
            <w:pPr>
              <w:spacing w:after="0" w:line="360" w:lineRule="auto"/>
              <w:ind w:right="-2"/>
              <w:jc w:val="center"/>
              <w:rPr>
                <w:color w:val="auto"/>
                <w:szCs w:val="21"/>
                <w:highlight w:val="none"/>
              </w:rPr>
            </w:pPr>
          </w:p>
        </w:tc>
        <w:tc>
          <w:tcPr>
            <w:tcW w:w="843" w:type="dxa"/>
            <w:vAlign w:val="center"/>
          </w:tcPr>
          <w:p w14:paraId="5DF726E3">
            <w:pPr>
              <w:spacing w:after="0" w:line="360" w:lineRule="auto"/>
              <w:ind w:right="-2"/>
              <w:jc w:val="center"/>
              <w:rPr>
                <w:color w:val="auto"/>
                <w:szCs w:val="21"/>
                <w:highlight w:val="none"/>
              </w:rPr>
            </w:pPr>
          </w:p>
        </w:tc>
        <w:tc>
          <w:tcPr>
            <w:tcW w:w="727" w:type="dxa"/>
            <w:vAlign w:val="center"/>
          </w:tcPr>
          <w:p w14:paraId="43BF97A3">
            <w:pPr>
              <w:spacing w:after="0" w:line="360" w:lineRule="auto"/>
              <w:ind w:right="-2"/>
              <w:jc w:val="center"/>
              <w:rPr>
                <w:color w:val="auto"/>
                <w:szCs w:val="21"/>
                <w:highlight w:val="none"/>
              </w:rPr>
            </w:pPr>
          </w:p>
        </w:tc>
        <w:tc>
          <w:tcPr>
            <w:tcW w:w="773" w:type="dxa"/>
            <w:vAlign w:val="center"/>
          </w:tcPr>
          <w:p w14:paraId="3326E383">
            <w:pPr>
              <w:spacing w:after="0" w:line="360" w:lineRule="auto"/>
              <w:ind w:right="-2"/>
              <w:jc w:val="center"/>
              <w:rPr>
                <w:color w:val="auto"/>
                <w:szCs w:val="21"/>
                <w:highlight w:val="none"/>
              </w:rPr>
            </w:pPr>
          </w:p>
        </w:tc>
        <w:tc>
          <w:tcPr>
            <w:tcW w:w="707" w:type="dxa"/>
            <w:vAlign w:val="center"/>
          </w:tcPr>
          <w:p w14:paraId="01C5FD38">
            <w:pPr>
              <w:spacing w:after="0" w:line="360" w:lineRule="auto"/>
              <w:ind w:right="-2"/>
              <w:jc w:val="center"/>
              <w:rPr>
                <w:color w:val="auto"/>
                <w:szCs w:val="21"/>
                <w:highlight w:val="none"/>
              </w:rPr>
            </w:pPr>
          </w:p>
        </w:tc>
        <w:tc>
          <w:tcPr>
            <w:tcW w:w="734" w:type="dxa"/>
            <w:vAlign w:val="center"/>
          </w:tcPr>
          <w:p w14:paraId="506B142C">
            <w:pPr>
              <w:spacing w:after="0" w:line="360" w:lineRule="auto"/>
              <w:ind w:right="-2"/>
              <w:jc w:val="center"/>
              <w:rPr>
                <w:color w:val="auto"/>
                <w:szCs w:val="21"/>
                <w:highlight w:val="none"/>
              </w:rPr>
            </w:pPr>
          </w:p>
        </w:tc>
        <w:tc>
          <w:tcPr>
            <w:tcW w:w="1339" w:type="dxa"/>
            <w:vAlign w:val="center"/>
          </w:tcPr>
          <w:p w14:paraId="6F0A58AE">
            <w:pPr>
              <w:spacing w:after="0" w:line="360" w:lineRule="auto"/>
              <w:ind w:right="-2"/>
              <w:jc w:val="center"/>
              <w:rPr>
                <w:color w:val="auto"/>
                <w:szCs w:val="21"/>
                <w:highlight w:val="none"/>
              </w:rPr>
            </w:pPr>
          </w:p>
        </w:tc>
        <w:tc>
          <w:tcPr>
            <w:tcW w:w="1361" w:type="dxa"/>
            <w:vAlign w:val="center"/>
          </w:tcPr>
          <w:p w14:paraId="0ECA559A">
            <w:pPr>
              <w:spacing w:after="0" w:line="360" w:lineRule="auto"/>
              <w:ind w:right="-2"/>
              <w:jc w:val="center"/>
              <w:rPr>
                <w:color w:val="auto"/>
                <w:szCs w:val="21"/>
                <w:highlight w:val="none"/>
              </w:rPr>
            </w:pPr>
          </w:p>
        </w:tc>
        <w:tc>
          <w:tcPr>
            <w:tcW w:w="747" w:type="dxa"/>
            <w:vAlign w:val="center"/>
          </w:tcPr>
          <w:p w14:paraId="6968D332">
            <w:pPr>
              <w:spacing w:after="0" w:line="360" w:lineRule="auto"/>
              <w:ind w:right="-2"/>
              <w:jc w:val="center"/>
              <w:rPr>
                <w:color w:val="auto"/>
                <w:szCs w:val="21"/>
                <w:highlight w:val="none"/>
              </w:rPr>
            </w:pPr>
          </w:p>
        </w:tc>
      </w:tr>
    </w:tbl>
    <w:p w14:paraId="5A1AA9C9">
      <w:pPr>
        <w:rPr>
          <w:color w:val="auto"/>
          <w:szCs w:val="21"/>
          <w:highlight w:val="none"/>
        </w:rPr>
      </w:pPr>
    </w:p>
    <w:p w14:paraId="280C713E">
      <w:pPr>
        <w:rPr>
          <w:color w:val="auto"/>
          <w:szCs w:val="21"/>
          <w:highlight w:val="none"/>
        </w:rPr>
      </w:pPr>
      <w:r>
        <w:rPr>
          <w:rFonts w:hint="eastAsia"/>
          <w:color w:val="auto"/>
          <w:szCs w:val="21"/>
          <w:highlight w:val="none"/>
        </w:rPr>
        <w:t>法定代表人或授权代表签字：</w:t>
      </w:r>
    </w:p>
    <w:p w14:paraId="2ADA1D12">
      <w:pPr>
        <w:jc w:val="right"/>
        <w:rPr>
          <w:color w:val="auto"/>
          <w:szCs w:val="21"/>
          <w:highlight w:val="none"/>
        </w:rPr>
      </w:pPr>
    </w:p>
    <w:p w14:paraId="21233D65">
      <w:pPr>
        <w:jc w:val="right"/>
        <w:rPr>
          <w:color w:val="auto"/>
          <w:szCs w:val="21"/>
          <w:highlight w:val="none"/>
        </w:rPr>
      </w:pPr>
      <w:r>
        <w:rPr>
          <w:rFonts w:hint="eastAsia"/>
          <w:color w:val="auto"/>
          <w:szCs w:val="21"/>
          <w:highlight w:val="none"/>
        </w:rPr>
        <w:t>日期：     年    月     日</w:t>
      </w:r>
    </w:p>
    <w:p w14:paraId="62146EAB">
      <w:pPr>
        <w:jc w:val="right"/>
        <w:rPr>
          <w:color w:val="auto"/>
          <w:szCs w:val="21"/>
          <w:highlight w:val="none"/>
        </w:rPr>
      </w:pPr>
    </w:p>
    <w:p w14:paraId="23662F24">
      <w:pPr>
        <w:pStyle w:val="12"/>
        <w:rPr>
          <w:color w:val="auto"/>
          <w:szCs w:val="21"/>
          <w:highlight w:val="none"/>
        </w:rPr>
      </w:pPr>
      <w:r>
        <w:rPr>
          <w:rFonts w:hint="eastAsia"/>
          <w:color w:val="auto"/>
          <w:szCs w:val="21"/>
          <w:highlight w:val="none"/>
        </w:rPr>
        <w:t>注：此表内容可按需增加。</w:t>
      </w:r>
    </w:p>
    <w:p w14:paraId="3EB7E0A9">
      <w:pPr>
        <w:pStyle w:val="12"/>
        <w:rPr>
          <w:color w:val="auto"/>
          <w:szCs w:val="21"/>
          <w:highlight w:val="none"/>
        </w:rPr>
      </w:pPr>
    </w:p>
    <w:p w14:paraId="7BDA899D">
      <w:pPr>
        <w:pStyle w:val="12"/>
        <w:rPr>
          <w:color w:val="auto"/>
          <w:szCs w:val="21"/>
          <w:highlight w:val="none"/>
        </w:rPr>
      </w:pPr>
    </w:p>
    <w:p w14:paraId="4B109591">
      <w:pPr>
        <w:spacing w:line="360" w:lineRule="auto"/>
        <w:ind w:right="-2"/>
        <w:rPr>
          <w:rFonts w:ascii="宋体" w:hAnsi="宋体"/>
          <w:b/>
          <w:bCs/>
          <w:color w:val="auto"/>
          <w:szCs w:val="21"/>
          <w:highlight w:val="none"/>
        </w:rPr>
      </w:pPr>
    </w:p>
    <w:p w14:paraId="010F52A0">
      <w:pPr>
        <w:jc w:val="center"/>
        <w:rPr>
          <w:rFonts w:ascii="楷体" w:hAnsi="楷体" w:eastAsia="楷体" w:cs="楷体"/>
          <w:b/>
          <w:color w:val="auto"/>
          <w:sz w:val="44"/>
          <w:szCs w:val="44"/>
          <w:highlight w:val="none"/>
        </w:rPr>
      </w:pPr>
      <w:r>
        <w:rPr>
          <w:rFonts w:hint="eastAsia" w:ascii="楷体" w:hAnsi="楷体" w:eastAsia="楷体" w:cs="楷体"/>
          <w:b/>
          <w:color w:val="auto"/>
          <w:sz w:val="44"/>
          <w:szCs w:val="44"/>
          <w:highlight w:val="none"/>
        </w:rPr>
        <w:t>供应商参加谈判确认函</w:t>
      </w:r>
    </w:p>
    <w:p w14:paraId="1EAD1E24">
      <w:pPr>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江苏苏维工程管理有限</w:t>
      </w:r>
      <w:r>
        <w:rPr>
          <w:rFonts w:hint="eastAsia" w:ascii="楷体" w:hAnsi="楷体" w:eastAsia="楷体" w:cs="楷体"/>
          <w:color w:val="auto"/>
          <w:sz w:val="32"/>
          <w:szCs w:val="32"/>
          <w:highlight w:val="none"/>
          <w:lang w:eastAsia="zh-CN"/>
        </w:rPr>
        <w:t>公司</w:t>
      </w:r>
      <w:r>
        <w:rPr>
          <w:rFonts w:hint="eastAsia" w:ascii="楷体" w:hAnsi="楷体" w:eastAsia="楷体" w:cs="楷体"/>
          <w:color w:val="auto"/>
          <w:sz w:val="32"/>
          <w:szCs w:val="32"/>
          <w:highlight w:val="none"/>
        </w:rPr>
        <w:t>：</w:t>
      </w:r>
    </w:p>
    <w:p w14:paraId="0A0C5569">
      <w:pPr>
        <w:ind w:left="320" w:hanging="320" w:hangingChars="1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本单位将参加贵</w:t>
      </w:r>
      <w:r>
        <w:rPr>
          <w:rFonts w:hint="eastAsia" w:ascii="楷体" w:hAnsi="楷体" w:eastAsia="楷体" w:cs="楷体"/>
          <w:color w:val="auto"/>
          <w:sz w:val="32"/>
          <w:szCs w:val="32"/>
          <w:highlight w:val="none"/>
          <w:lang w:eastAsia="zh-CN"/>
        </w:rPr>
        <w:t>单位</w:t>
      </w:r>
      <w:r>
        <w:rPr>
          <w:rFonts w:hint="eastAsia" w:ascii="楷体" w:hAnsi="楷体" w:eastAsia="楷体" w:cs="楷体"/>
          <w:color w:val="auto"/>
          <w:sz w:val="32"/>
          <w:szCs w:val="32"/>
          <w:highlight w:val="none"/>
        </w:rPr>
        <w:t>于</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月</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日开标的采购编号为</w:t>
      </w:r>
      <w:r>
        <w:rPr>
          <w:rFonts w:hint="eastAsia" w:ascii="楷体" w:hAnsi="楷体" w:eastAsia="楷体" w:cs="楷体"/>
          <w:color w:val="auto"/>
          <w:sz w:val="32"/>
          <w:szCs w:val="32"/>
          <w:highlight w:val="none"/>
          <w:lang w:val="en-US" w:eastAsia="zh-CN"/>
        </w:rPr>
        <w:t xml:space="preserve">   </w:t>
      </w:r>
      <w:r>
        <w:rPr>
          <w:rFonts w:hint="eastAsia" w:ascii="楷体" w:hAnsi="楷体" w:eastAsia="楷体" w:cs="楷体"/>
          <w:color w:val="auto"/>
          <w:sz w:val="32"/>
          <w:szCs w:val="32"/>
          <w:highlight w:val="none"/>
        </w:rPr>
        <w:t>的</w:t>
      </w:r>
      <w:bookmarkStart w:id="141" w:name="_GoBack"/>
      <w:bookmarkEnd w:id="141"/>
      <w:r>
        <w:rPr>
          <w:rFonts w:hint="eastAsia" w:ascii="楷体" w:hAnsi="楷体" w:eastAsia="楷体" w:cs="楷体"/>
          <w:color w:val="auto"/>
          <w:sz w:val="32"/>
          <w:szCs w:val="32"/>
          <w:highlight w:val="none"/>
        </w:rPr>
        <w:t>项目的谈判。本单位已在扬州市政府采购服务商城获取标书，特发函确认。</w:t>
      </w:r>
    </w:p>
    <w:p w14:paraId="361AC860">
      <w:pPr>
        <w:ind w:left="4160" w:hanging="4160" w:hangingChars="130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xml:space="preserve">　　　　　　          </w:t>
      </w:r>
      <w:r>
        <w:rPr>
          <w:rFonts w:hint="eastAsia" w:ascii="楷体" w:hAnsi="楷体" w:eastAsia="楷体" w:cs="楷体"/>
          <w:color w:val="auto"/>
          <w:sz w:val="32"/>
          <w:szCs w:val="32"/>
          <w:highlight w:val="none"/>
          <w:u w:val="single"/>
        </w:rPr>
        <w:t xml:space="preserve">  　             </w:t>
      </w:r>
      <w:r>
        <w:rPr>
          <w:rFonts w:hint="eastAsia" w:ascii="楷体" w:hAnsi="楷体" w:eastAsia="楷体" w:cs="楷体"/>
          <w:color w:val="auto"/>
          <w:sz w:val="32"/>
          <w:szCs w:val="32"/>
          <w:highlight w:val="none"/>
        </w:rPr>
        <w:t>（单位公章）</w:t>
      </w:r>
    </w:p>
    <w:p w14:paraId="67F7E551">
      <w:pPr>
        <w:pBdr>
          <w:bottom w:val="single" w:color="000000" w:sz="6" w:space="1"/>
        </w:pBdr>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　　　　　　　　　　　　　    　年　　　月　　　日</w:t>
      </w:r>
    </w:p>
    <w:p w14:paraId="6326AFDF">
      <w:pPr>
        <w:ind w:left="5280" w:hanging="5280" w:hangingChars="1650"/>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附：</w:t>
      </w:r>
    </w:p>
    <w:p w14:paraId="2B4CED84">
      <w:pPr>
        <w:ind w:left="5963" w:hanging="5963" w:hangingChars="1650"/>
        <w:jc w:val="center"/>
        <w:rPr>
          <w:rFonts w:ascii="楷体" w:hAnsi="楷体" w:eastAsia="楷体" w:cs="楷体"/>
          <w:b/>
          <w:color w:val="auto"/>
          <w:sz w:val="36"/>
          <w:szCs w:val="36"/>
          <w:highlight w:val="none"/>
        </w:rPr>
      </w:pPr>
      <w:r>
        <w:rPr>
          <w:rFonts w:hint="eastAsia" w:ascii="楷体" w:hAnsi="楷体" w:eastAsia="楷体" w:cs="楷体"/>
          <w:b/>
          <w:color w:val="auto"/>
          <w:sz w:val="36"/>
          <w:szCs w:val="36"/>
          <w:highlight w:val="none"/>
        </w:rPr>
        <w:t xml:space="preserve">     供应商联系表</w:t>
      </w:r>
    </w:p>
    <w:tbl>
      <w:tblPr>
        <w:tblStyle w:val="26"/>
        <w:tblW w:w="85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7"/>
        <w:gridCol w:w="2562"/>
        <w:gridCol w:w="1663"/>
        <w:gridCol w:w="2010"/>
      </w:tblGrid>
      <w:tr w14:paraId="07F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267" w:type="dxa"/>
          </w:tcPr>
          <w:p w14:paraId="68B1DE4C">
            <w:pPr>
              <w:spacing w:after="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单位名称</w:t>
            </w:r>
          </w:p>
        </w:tc>
        <w:tc>
          <w:tcPr>
            <w:tcW w:w="6235" w:type="dxa"/>
            <w:gridSpan w:val="3"/>
          </w:tcPr>
          <w:p w14:paraId="6E378155">
            <w:pPr>
              <w:spacing w:after="0"/>
              <w:jc w:val="center"/>
              <w:rPr>
                <w:rFonts w:ascii="楷体" w:hAnsi="楷体" w:eastAsia="楷体" w:cs="楷体"/>
                <w:color w:val="auto"/>
                <w:sz w:val="28"/>
                <w:szCs w:val="28"/>
                <w:highlight w:val="none"/>
              </w:rPr>
            </w:pPr>
          </w:p>
        </w:tc>
      </w:tr>
      <w:tr w14:paraId="09A0B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267" w:type="dxa"/>
          </w:tcPr>
          <w:p w14:paraId="7BC14107">
            <w:pPr>
              <w:spacing w:after="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单位地址</w:t>
            </w:r>
          </w:p>
        </w:tc>
        <w:tc>
          <w:tcPr>
            <w:tcW w:w="6235" w:type="dxa"/>
            <w:gridSpan w:val="3"/>
          </w:tcPr>
          <w:p w14:paraId="26BBB5A0">
            <w:pPr>
              <w:spacing w:after="0"/>
              <w:jc w:val="center"/>
              <w:rPr>
                <w:rFonts w:ascii="楷体" w:hAnsi="楷体" w:eastAsia="楷体" w:cs="楷体"/>
                <w:color w:val="auto"/>
                <w:sz w:val="28"/>
                <w:szCs w:val="28"/>
                <w:highlight w:val="none"/>
              </w:rPr>
            </w:pPr>
          </w:p>
        </w:tc>
      </w:tr>
      <w:tr w14:paraId="0DDE1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267" w:type="dxa"/>
          </w:tcPr>
          <w:p w14:paraId="55A0D312">
            <w:pPr>
              <w:spacing w:after="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法定代表人</w:t>
            </w:r>
          </w:p>
        </w:tc>
        <w:tc>
          <w:tcPr>
            <w:tcW w:w="2562" w:type="dxa"/>
          </w:tcPr>
          <w:p w14:paraId="3CD5315F">
            <w:pPr>
              <w:spacing w:after="0"/>
              <w:rPr>
                <w:rFonts w:ascii="楷体" w:hAnsi="楷体" w:eastAsia="楷体" w:cs="楷体"/>
                <w:color w:val="auto"/>
                <w:sz w:val="28"/>
                <w:szCs w:val="28"/>
                <w:highlight w:val="none"/>
              </w:rPr>
            </w:pPr>
          </w:p>
        </w:tc>
        <w:tc>
          <w:tcPr>
            <w:tcW w:w="1663" w:type="dxa"/>
          </w:tcPr>
          <w:p w14:paraId="3C141470">
            <w:pPr>
              <w:spacing w:after="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邮    编</w:t>
            </w:r>
          </w:p>
        </w:tc>
        <w:tc>
          <w:tcPr>
            <w:tcW w:w="2010" w:type="dxa"/>
          </w:tcPr>
          <w:p w14:paraId="56B5E360">
            <w:pPr>
              <w:spacing w:after="0"/>
              <w:jc w:val="center"/>
              <w:rPr>
                <w:rFonts w:ascii="楷体" w:hAnsi="楷体" w:eastAsia="楷体" w:cs="楷体"/>
                <w:color w:val="auto"/>
                <w:sz w:val="28"/>
                <w:szCs w:val="28"/>
                <w:highlight w:val="none"/>
              </w:rPr>
            </w:pPr>
          </w:p>
        </w:tc>
      </w:tr>
      <w:tr w14:paraId="061D0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7" w:type="dxa"/>
          </w:tcPr>
          <w:p w14:paraId="24216526">
            <w:pPr>
              <w:spacing w:after="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单位电话</w:t>
            </w:r>
          </w:p>
        </w:tc>
        <w:tc>
          <w:tcPr>
            <w:tcW w:w="2562" w:type="dxa"/>
          </w:tcPr>
          <w:p w14:paraId="3D6409FC">
            <w:pPr>
              <w:spacing w:after="0"/>
              <w:jc w:val="center"/>
              <w:rPr>
                <w:rFonts w:ascii="楷体" w:hAnsi="楷体" w:eastAsia="楷体" w:cs="楷体"/>
                <w:color w:val="auto"/>
                <w:sz w:val="28"/>
                <w:szCs w:val="28"/>
                <w:highlight w:val="none"/>
              </w:rPr>
            </w:pPr>
          </w:p>
        </w:tc>
        <w:tc>
          <w:tcPr>
            <w:tcW w:w="1663" w:type="dxa"/>
          </w:tcPr>
          <w:p w14:paraId="6D14AB28">
            <w:pPr>
              <w:spacing w:after="0"/>
              <w:jc w:val="left"/>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传真号码</w:t>
            </w:r>
          </w:p>
        </w:tc>
        <w:tc>
          <w:tcPr>
            <w:tcW w:w="2010" w:type="dxa"/>
          </w:tcPr>
          <w:p w14:paraId="7391A59F">
            <w:pPr>
              <w:spacing w:after="0"/>
              <w:jc w:val="center"/>
              <w:rPr>
                <w:rFonts w:ascii="楷体" w:hAnsi="楷体" w:eastAsia="楷体" w:cs="楷体"/>
                <w:color w:val="auto"/>
                <w:sz w:val="28"/>
                <w:szCs w:val="28"/>
                <w:highlight w:val="none"/>
              </w:rPr>
            </w:pPr>
          </w:p>
        </w:tc>
      </w:tr>
      <w:tr w14:paraId="0EEAD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267" w:type="dxa"/>
          </w:tcPr>
          <w:p w14:paraId="4A598546">
            <w:pPr>
              <w:spacing w:after="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项目联系人</w:t>
            </w:r>
          </w:p>
        </w:tc>
        <w:tc>
          <w:tcPr>
            <w:tcW w:w="2562" w:type="dxa"/>
          </w:tcPr>
          <w:p w14:paraId="3D0E3BA7">
            <w:pPr>
              <w:spacing w:after="0"/>
              <w:jc w:val="center"/>
              <w:rPr>
                <w:rFonts w:ascii="楷体" w:hAnsi="楷体" w:eastAsia="楷体" w:cs="楷体"/>
                <w:color w:val="auto"/>
                <w:sz w:val="28"/>
                <w:szCs w:val="28"/>
                <w:highlight w:val="none"/>
              </w:rPr>
            </w:pPr>
          </w:p>
        </w:tc>
        <w:tc>
          <w:tcPr>
            <w:tcW w:w="1663" w:type="dxa"/>
          </w:tcPr>
          <w:p w14:paraId="7D715374">
            <w:pPr>
              <w:spacing w:after="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邮    箱</w:t>
            </w:r>
          </w:p>
        </w:tc>
        <w:tc>
          <w:tcPr>
            <w:tcW w:w="2010" w:type="dxa"/>
          </w:tcPr>
          <w:p w14:paraId="6329E8B2">
            <w:pPr>
              <w:spacing w:after="0"/>
              <w:jc w:val="center"/>
              <w:rPr>
                <w:rFonts w:ascii="楷体" w:hAnsi="楷体" w:eastAsia="楷体" w:cs="楷体"/>
                <w:color w:val="auto"/>
                <w:sz w:val="28"/>
                <w:szCs w:val="28"/>
                <w:highlight w:val="none"/>
              </w:rPr>
            </w:pPr>
          </w:p>
        </w:tc>
      </w:tr>
      <w:tr w14:paraId="4E336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7" w:type="dxa"/>
          </w:tcPr>
          <w:p w14:paraId="777FA9A9">
            <w:pPr>
              <w:spacing w:after="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联系人电话</w:t>
            </w:r>
          </w:p>
        </w:tc>
        <w:tc>
          <w:tcPr>
            <w:tcW w:w="2562" w:type="dxa"/>
          </w:tcPr>
          <w:p w14:paraId="1C89DA85">
            <w:pPr>
              <w:spacing w:after="0"/>
              <w:jc w:val="center"/>
              <w:rPr>
                <w:rFonts w:ascii="楷体" w:hAnsi="楷体" w:eastAsia="楷体" w:cs="楷体"/>
                <w:color w:val="auto"/>
                <w:sz w:val="28"/>
                <w:szCs w:val="28"/>
                <w:highlight w:val="none"/>
              </w:rPr>
            </w:pPr>
          </w:p>
        </w:tc>
        <w:tc>
          <w:tcPr>
            <w:tcW w:w="1663" w:type="dxa"/>
          </w:tcPr>
          <w:p w14:paraId="3185C331">
            <w:pPr>
              <w:spacing w:after="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联系人手机</w:t>
            </w:r>
          </w:p>
        </w:tc>
        <w:tc>
          <w:tcPr>
            <w:tcW w:w="2010" w:type="dxa"/>
          </w:tcPr>
          <w:p w14:paraId="1904B0A1">
            <w:pPr>
              <w:spacing w:after="0"/>
              <w:jc w:val="center"/>
              <w:rPr>
                <w:rFonts w:ascii="楷体" w:hAnsi="楷体" w:eastAsia="楷体" w:cs="楷体"/>
                <w:color w:val="auto"/>
                <w:sz w:val="28"/>
                <w:szCs w:val="28"/>
                <w:highlight w:val="none"/>
              </w:rPr>
            </w:pPr>
          </w:p>
        </w:tc>
      </w:tr>
      <w:tr w14:paraId="77ED9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267" w:type="dxa"/>
          </w:tcPr>
          <w:p w14:paraId="1B497BB8">
            <w:pPr>
              <w:spacing w:after="0"/>
              <w:rPr>
                <w:rFonts w:ascii="楷体" w:hAnsi="楷体" w:eastAsia="楷体" w:cs="楷体"/>
                <w:color w:val="auto"/>
                <w:sz w:val="28"/>
                <w:szCs w:val="28"/>
                <w:highlight w:val="none"/>
              </w:rPr>
            </w:pPr>
            <w:r>
              <w:rPr>
                <w:rFonts w:hint="eastAsia" w:ascii="楷体" w:hAnsi="楷体" w:eastAsia="楷体" w:cs="楷体"/>
                <w:color w:val="auto"/>
                <w:sz w:val="28"/>
                <w:szCs w:val="28"/>
                <w:highlight w:val="none"/>
              </w:rPr>
              <w:t>所投项目名称</w:t>
            </w:r>
          </w:p>
        </w:tc>
        <w:tc>
          <w:tcPr>
            <w:tcW w:w="6235" w:type="dxa"/>
            <w:gridSpan w:val="3"/>
          </w:tcPr>
          <w:p w14:paraId="522362B3">
            <w:pPr>
              <w:spacing w:after="0"/>
              <w:jc w:val="center"/>
              <w:rPr>
                <w:rFonts w:ascii="楷体" w:hAnsi="楷体" w:eastAsia="楷体" w:cs="楷体"/>
                <w:color w:val="auto"/>
                <w:sz w:val="28"/>
                <w:szCs w:val="28"/>
                <w:highlight w:val="none"/>
              </w:rPr>
            </w:pPr>
          </w:p>
        </w:tc>
      </w:tr>
    </w:tbl>
    <w:p w14:paraId="47A042D7">
      <w:pPr>
        <w:spacing w:line="360" w:lineRule="auto"/>
        <w:rPr>
          <w:rFonts w:cs="宋体"/>
          <w:b/>
          <w:color w:val="auto"/>
          <w:sz w:val="24"/>
          <w:szCs w:val="24"/>
          <w:highlight w:val="none"/>
        </w:rPr>
      </w:pPr>
      <w:r>
        <w:rPr>
          <w:rFonts w:hint="eastAsia" w:cs="宋体"/>
          <w:b/>
          <w:color w:val="auto"/>
          <w:sz w:val="24"/>
          <w:szCs w:val="24"/>
          <w:highlight w:val="none"/>
        </w:rPr>
        <w:t>备注：1、请准备参与本项目谈判的供应商如实填写（以上信息均为必填内容）后邮件至采购代理机构（邮箱：3498317155@qq.com，固定电话：0514-87982240）。</w:t>
      </w:r>
    </w:p>
    <w:p w14:paraId="50608D54">
      <w:pPr>
        <w:spacing w:line="360" w:lineRule="auto"/>
        <w:rPr>
          <w:rFonts w:cs="宋体"/>
          <w:b/>
          <w:color w:val="auto"/>
          <w:sz w:val="24"/>
          <w:szCs w:val="24"/>
          <w:highlight w:val="none"/>
        </w:rPr>
      </w:pPr>
      <w:r>
        <w:rPr>
          <w:rFonts w:hint="eastAsia" w:cs="宋体"/>
          <w:b/>
          <w:color w:val="auto"/>
          <w:sz w:val="24"/>
          <w:szCs w:val="24"/>
          <w:highlight w:val="none"/>
        </w:rPr>
        <w:t xml:space="preserve">      2、因供应商填写有误，造成以上信息资料的不实将由供应商承担责任。</w:t>
      </w:r>
    </w:p>
    <w:p w14:paraId="1D26EF41">
      <w:pPr>
        <w:spacing w:line="360" w:lineRule="auto"/>
        <w:rPr>
          <w:rFonts w:cs="宋体"/>
          <w:b/>
          <w:color w:val="auto"/>
          <w:sz w:val="24"/>
          <w:szCs w:val="24"/>
          <w:highlight w:val="none"/>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宋体_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0EC49">
    <w:pPr>
      <w:pStyle w:val="17"/>
      <w:tabs>
        <w:tab w:val="clear" w:pos="4153"/>
        <w:tab w:val="clear" w:pos="8306"/>
      </w:tabs>
      <w:jc w:val="center"/>
      <w:rPr>
        <w:rFonts w:ascii="宋体_GB2312" w:hAnsi="宋体_GB2312" w:eastAsia="宋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41F58">
    <w:pPr>
      <w:pStyle w:val="17"/>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00005d"/>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04C68E2E">
                          <w:pPr>
                            <w:pStyle w:val="17"/>
                            <w:tabs>
                              <w:tab w:val="clear" w:pos="4153"/>
                              <w:tab w:val="clear" w:pos="8306"/>
                            </w:tabs>
                          </w:pPr>
                          <w:r>
                            <w:fldChar w:fldCharType="begin"/>
                          </w:r>
                          <w:r>
                            <w:instrText xml:space="preserve"> PAGE  \* MERGEFORMAT </w:instrText>
                          </w:r>
                          <w:r>
                            <w:fldChar w:fldCharType="separate"/>
                          </w:r>
                          <w:r>
                            <w:t>6</w:t>
                          </w:r>
                          <w:r>
                            <w:fldChar w:fldCharType="end"/>
                          </w:r>
                        </w:p>
                        <w:p w14:paraId="13867F1F"/>
                      </w:txbxContent>
                    </wps:txbx>
                    <wps:bodyPr wrap="none" lIns="0" tIns="0" rIns="0" bIns="0" upright="1">
                      <a:spAutoFit/>
                    </wps:bodyPr>
                  </wps:wsp>
                </a:graphicData>
              </a:graphic>
            </wp:anchor>
          </w:drawing>
        </mc:Choice>
        <mc:Fallback>
          <w:pict>
            <v:shape id="00005d"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V+SdAAAAADAQAADwAAAAAAAAABACAAAAAiAAAAZHJzL2Rvd25yZXYueG1sUEsBAhQA&#10;FAAAAAgAh07iQDYuiT7BAQAAoAMAAA4AAAAAAAAAAQAgAAAAHwEAAGRycy9lMm9Eb2MueG1sUEsF&#10;BgAAAAAGAAYAWQEAAFIFAAAAAA==&#10;">
              <v:fill on="f" focussize="0,0"/>
              <v:stroke on="f"/>
              <v:imagedata o:title=""/>
              <o:lock v:ext="edit" aspectratio="f"/>
              <v:textbox inset="0mm,0mm,0mm,0mm" style="mso-fit-shape-to-text:t;">
                <w:txbxContent>
                  <w:p w14:paraId="04C68E2E">
                    <w:pPr>
                      <w:pStyle w:val="17"/>
                      <w:tabs>
                        <w:tab w:val="clear" w:pos="4153"/>
                        <w:tab w:val="clear" w:pos="8306"/>
                      </w:tabs>
                    </w:pPr>
                    <w:r>
                      <w:fldChar w:fldCharType="begin"/>
                    </w:r>
                    <w:r>
                      <w:instrText xml:space="preserve"> PAGE  \* MERGEFORMAT </w:instrText>
                    </w:r>
                    <w:r>
                      <w:fldChar w:fldCharType="separate"/>
                    </w:r>
                    <w:r>
                      <w:t>6</w:t>
                    </w:r>
                    <w:r>
                      <w:fldChar w:fldCharType="end"/>
                    </w:r>
                  </w:p>
                  <w:p w14:paraId="13867F1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2E76D">
    <w:pPr>
      <w:pStyle w:val="17"/>
      <w:tabs>
        <w:tab w:val="clear" w:pos="4153"/>
        <w:tab w:val="clear" w:pos="8306"/>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00006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656A4C0D">
                          <w:pPr>
                            <w:pStyle w:val="17"/>
                            <w:tabs>
                              <w:tab w:val="clear" w:pos="4153"/>
                              <w:tab w:val="clear" w:pos="8306"/>
                            </w:tabs>
                          </w:pPr>
                          <w:r>
                            <w:fldChar w:fldCharType="begin"/>
                          </w:r>
                          <w:r>
                            <w:instrText xml:space="preserve"> PAGE  \* MERGEFORMAT </w:instrText>
                          </w:r>
                          <w:r>
                            <w:fldChar w:fldCharType="separate"/>
                          </w:r>
                          <w:r>
                            <w:t>20</w:t>
                          </w:r>
                          <w:r>
                            <w:fldChar w:fldCharType="end"/>
                          </w:r>
                        </w:p>
                        <w:p w14:paraId="76C005DB"/>
                      </w:txbxContent>
                    </wps:txbx>
                    <wps:bodyPr wrap="none" lIns="0" tIns="0" rIns="0" bIns="0" upright="1">
                      <a:spAutoFit/>
                    </wps:bodyPr>
                  </wps:wsp>
                </a:graphicData>
              </a:graphic>
            </wp:anchor>
          </w:drawing>
        </mc:Choice>
        <mc:Fallback>
          <w:pict>
            <v:shape id="000060"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V+SdAAAAADAQAADwAAAAAAAAABACAAAAAiAAAAZHJzL2Rvd25yZXYueG1sUEsBAhQA&#10;FAAAAAgAh07iQGLTH07BAQAAoAMAAA4AAAAAAAAAAQAgAAAAHwEAAGRycy9lMm9Eb2MueG1sUEsF&#10;BgAAAAAGAAYAWQEAAFIFAAAAAA==&#10;">
              <v:fill on="f" focussize="0,0"/>
              <v:stroke on="f"/>
              <v:imagedata o:title=""/>
              <o:lock v:ext="edit" aspectratio="f"/>
              <v:textbox inset="0mm,0mm,0mm,0mm" style="mso-fit-shape-to-text:t;">
                <w:txbxContent>
                  <w:p w14:paraId="656A4C0D">
                    <w:pPr>
                      <w:pStyle w:val="17"/>
                      <w:tabs>
                        <w:tab w:val="clear" w:pos="4153"/>
                        <w:tab w:val="clear" w:pos="8306"/>
                      </w:tabs>
                    </w:pPr>
                    <w:r>
                      <w:fldChar w:fldCharType="begin"/>
                    </w:r>
                    <w:r>
                      <w:instrText xml:space="preserve"> PAGE  \* MERGEFORMAT </w:instrText>
                    </w:r>
                    <w:r>
                      <w:fldChar w:fldCharType="separate"/>
                    </w:r>
                    <w:r>
                      <w:t>20</w:t>
                    </w:r>
                    <w:r>
                      <w:fldChar w:fldCharType="end"/>
                    </w:r>
                  </w:p>
                  <w:p w14:paraId="76C005DB"/>
                </w:txbxContent>
              </v:textbox>
            </v:shape>
          </w:pict>
        </mc:Fallback>
      </mc:AlternateContent>
    </w:r>
  </w:p>
  <w:p w14:paraId="4613F650">
    <w:pPr>
      <w:pStyle w:val="17"/>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7A8D1">
    <w:pPr>
      <w:pStyle w:val="18"/>
      <w:tabs>
        <w:tab w:val="clear" w:pos="4153"/>
        <w:tab w:val="clear" w:pos="8306"/>
      </w:tabs>
    </w:pPr>
    <w:r>
      <w:rPr>
        <w:rFonts w:hint="eastAsia"/>
      </w:rPr>
      <w:t>CGZX-20260301                                            江苏苏维工程管理有限公司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3FBD6">
    <w:pPr>
      <w:pStyle w:val="18"/>
      <w:tabs>
        <w:tab w:val="clear" w:pos="4153"/>
        <w:tab w:val="clear" w:pos="8306"/>
      </w:tabs>
    </w:pPr>
    <w:r>
      <w:rPr>
        <w:rFonts w:hint="eastAsia"/>
      </w:rPr>
      <w:tab/>
    </w:r>
    <w:r>
      <w:rPr>
        <w:rFonts w:hint="eastAsia"/>
      </w:rPr>
      <w:t>CGZX-20260301                                              江苏苏维工程管理有限公司</w:t>
    </w:r>
    <w:r>
      <w:rPr>
        <w:rFonts w:hint="eastAsi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3C32E">
    <w:pPr>
      <w:pStyle w:val="18"/>
      <w:tabs>
        <w:tab w:val="clear" w:pos="4153"/>
        <w:tab w:val="clear" w:pos="8306"/>
      </w:tabs>
    </w:pPr>
    <w:r>
      <w:rPr>
        <w:rFonts w:hint="eastAsia"/>
      </w:rPr>
      <w:t>CGZX-20260301                                           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8200D"/>
    <w:multiLevelType w:val="singleLevel"/>
    <w:tmpl w:val="CA68200D"/>
    <w:lvl w:ilvl="0" w:tentative="0">
      <w:start w:val="2"/>
      <w:numFmt w:val="chineseCounting"/>
      <w:suff w:val="nothing"/>
      <w:lvlText w:val="%1、"/>
      <w:lvlJc w:val="left"/>
      <w:rPr>
        <w:rFonts w:hint="eastAsia"/>
      </w:rPr>
    </w:lvl>
  </w:abstractNum>
  <w:abstractNum w:abstractNumId="1">
    <w:nsid w:val="CF092B84"/>
    <w:multiLevelType w:val="multilevel"/>
    <w:tmpl w:val="CF092B84"/>
    <w:lvl w:ilvl="0" w:tentative="0">
      <w:start w:val="1"/>
      <w:numFmt w:val="bullet"/>
      <w:pStyle w:val="92"/>
      <w:lvlText w:val=""/>
      <w:lvlJc w:val="left"/>
      <w:pPr>
        <w:tabs>
          <w:tab w:val="left" w:pos="780"/>
        </w:tabs>
        <w:ind w:left="78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66"/>
      <w:lvlText w:val="%1.%2"/>
      <w:lvlJc w:val="left"/>
      <w:pPr>
        <w:tabs>
          <w:tab w:val="left" w:pos="851"/>
        </w:tabs>
        <w:ind w:left="0" w:firstLine="0"/>
      </w:pPr>
    </w:lvl>
    <w:lvl w:ilvl="2" w:tentative="0">
      <w:start w:val="1"/>
      <w:numFmt w:val="decimal"/>
      <w:pStyle w:val="42"/>
      <w:lvlText w:val="%1.%2.%3"/>
      <w:lvlJc w:val="left"/>
      <w:pPr>
        <w:tabs>
          <w:tab w:val="left" w:pos="851"/>
        </w:tabs>
        <w:ind w:left="0" w:firstLine="0"/>
      </w:pPr>
      <w:rPr>
        <w:color w:val="000000"/>
      </w:rPr>
    </w:lvl>
    <w:lvl w:ilvl="3" w:tentative="0">
      <w:start w:val="1"/>
      <w:numFmt w:val="decima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3">
    <w:nsid w:val="6DFB8D88"/>
    <w:multiLevelType w:val="singleLevel"/>
    <w:tmpl w:val="6DFB8D88"/>
    <w:lvl w:ilvl="0" w:tentative="0">
      <w:start w:val="1"/>
      <w:numFmt w:val="decimal"/>
      <w:suff w:val="nothing"/>
      <w:lvlText w:val="%1、"/>
      <w:lvlJc w:val="left"/>
    </w:lvl>
  </w:abstractNum>
  <w:abstractNum w:abstractNumId="4">
    <w:nsid w:val="6F1164E8"/>
    <w:multiLevelType w:val="singleLevel"/>
    <w:tmpl w:val="6F1164E8"/>
    <w:lvl w:ilvl="0" w:tentative="0">
      <w:start w:val="4"/>
      <w:numFmt w:val="chineseCounting"/>
      <w:suff w:val="space"/>
      <w:lvlText w:val="第%1章"/>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7B"/>
    <w:rsid w:val="0000770C"/>
    <w:rsid w:val="00020CDE"/>
    <w:rsid w:val="00080A0F"/>
    <w:rsid w:val="000B0FF6"/>
    <w:rsid w:val="00192C55"/>
    <w:rsid w:val="0022602B"/>
    <w:rsid w:val="00231925"/>
    <w:rsid w:val="00285029"/>
    <w:rsid w:val="002E1DE5"/>
    <w:rsid w:val="0031384D"/>
    <w:rsid w:val="0041257B"/>
    <w:rsid w:val="00446A43"/>
    <w:rsid w:val="004E0DB2"/>
    <w:rsid w:val="004E2572"/>
    <w:rsid w:val="005251C4"/>
    <w:rsid w:val="005812A1"/>
    <w:rsid w:val="00637905"/>
    <w:rsid w:val="00696B60"/>
    <w:rsid w:val="006A7DB2"/>
    <w:rsid w:val="006E0783"/>
    <w:rsid w:val="006F3A55"/>
    <w:rsid w:val="006F7E08"/>
    <w:rsid w:val="007177F0"/>
    <w:rsid w:val="00754195"/>
    <w:rsid w:val="007F2184"/>
    <w:rsid w:val="00801ADE"/>
    <w:rsid w:val="008024ED"/>
    <w:rsid w:val="0080606A"/>
    <w:rsid w:val="00861D7C"/>
    <w:rsid w:val="0087510E"/>
    <w:rsid w:val="008A634B"/>
    <w:rsid w:val="00940A6F"/>
    <w:rsid w:val="00974491"/>
    <w:rsid w:val="00980B78"/>
    <w:rsid w:val="00982D4F"/>
    <w:rsid w:val="00A242AB"/>
    <w:rsid w:val="00A56342"/>
    <w:rsid w:val="00A6179D"/>
    <w:rsid w:val="00A666DF"/>
    <w:rsid w:val="00B0693E"/>
    <w:rsid w:val="00B24656"/>
    <w:rsid w:val="00B323B0"/>
    <w:rsid w:val="00B801C3"/>
    <w:rsid w:val="00BA4C41"/>
    <w:rsid w:val="00BD4B92"/>
    <w:rsid w:val="00CE1272"/>
    <w:rsid w:val="00DA4BCF"/>
    <w:rsid w:val="00E631F7"/>
    <w:rsid w:val="00E91F59"/>
    <w:rsid w:val="00EA70E4"/>
    <w:rsid w:val="00F14D93"/>
    <w:rsid w:val="00FD0558"/>
    <w:rsid w:val="01004409"/>
    <w:rsid w:val="01456192"/>
    <w:rsid w:val="016862ED"/>
    <w:rsid w:val="01C34F31"/>
    <w:rsid w:val="01CA774E"/>
    <w:rsid w:val="01D01E71"/>
    <w:rsid w:val="024C6E69"/>
    <w:rsid w:val="02831A44"/>
    <w:rsid w:val="029A69B5"/>
    <w:rsid w:val="030E1CE6"/>
    <w:rsid w:val="031407D3"/>
    <w:rsid w:val="031738C2"/>
    <w:rsid w:val="03454C6A"/>
    <w:rsid w:val="036C0A77"/>
    <w:rsid w:val="038C4F23"/>
    <w:rsid w:val="039205E9"/>
    <w:rsid w:val="03A32D94"/>
    <w:rsid w:val="044B19DF"/>
    <w:rsid w:val="04546EC9"/>
    <w:rsid w:val="045E0C83"/>
    <w:rsid w:val="04654116"/>
    <w:rsid w:val="04A12C47"/>
    <w:rsid w:val="04C80BE4"/>
    <w:rsid w:val="052261AB"/>
    <w:rsid w:val="054E58EB"/>
    <w:rsid w:val="06210DCF"/>
    <w:rsid w:val="064F705E"/>
    <w:rsid w:val="06B53F04"/>
    <w:rsid w:val="06C02D83"/>
    <w:rsid w:val="06EC746A"/>
    <w:rsid w:val="071D470B"/>
    <w:rsid w:val="07603F35"/>
    <w:rsid w:val="079B6CC8"/>
    <w:rsid w:val="07A61EF8"/>
    <w:rsid w:val="07D94F6A"/>
    <w:rsid w:val="07DD7A09"/>
    <w:rsid w:val="07E96343"/>
    <w:rsid w:val="07F63D8E"/>
    <w:rsid w:val="080065B7"/>
    <w:rsid w:val="08012E76"/>
    <w:rsid w:val="086C7996"/>
    <w:rsid w:val="08A33788"/>
    <w:rsid w:val="0945366A"/>
    <w:rsid w:val="0977672E"/>
    <w:rsid w:val="09BA0FBF"/>
    <w:rsid w:val="09D24888"/>
    <w:rsid w:val="0A4D50B7"/>
    <w:rsid w:val="0A5B6E3E"/>
    <w:rsid w:val="0A980918"/>
    <w:rsid w:val="0AC449FC"/>
    <w:rsid w:val="0B56205A"/>
    <w:rsid w:val="0BCA2D02"/>
    <w:rsid w:val="0BFB0FDB"/>
    <w:rsid w:val="0C0B7A9F"/>
    <w:rsid w:val="0CB90E13"/>
    <w:rsid w:val="0CF958F4"/>
    <w:rsid w:val="0DA26350"/>
    <w:rsid w:val="0DC82AAA"/>
    <w:rsid w:val="0DE40C99"/>
    <w:rsid w:val="0E0C1E11"/>
    <w:rsid w:val="0E0D3DCB"/>
    <w:rsid w:val="0E0D4A26"/>
    <w:rsid w:val="0E181F54"/>
    <w:rsid w:val="0ED53854"/>
    <w:rsid w:val="0F454926"/>
    <w:rsid w:val="0FA6394F"/>
    <w:rsid w:val="0FBB73B2"/>
    <w:rsid w:val="0FCA58FC"/>
    <w:rsid w:val="1019577D"/>
    <w:rsid w:val="1033355D"/>
    <w:rsid w:val="106F759D"/>
    <w:rsid w:val="10716191"/>
    <w:rsid w:val="107F0826"/>
    <w:rsid w:val="108300B5"/>
    <w:rsid w:val="1092600D"/>
    <w:rsid w:val="109929E6"/>
    <w:rsid w:val="10996084"/>
    <w:rsid w:val="10B566FD"/>
    <w:rsid w:val="10F93ABB"/>
    <w:rsid w:val="11D44F67"/>
    <w:rsid w:val="11FC011F"/>
    <w:rsid w:val="11FE74FB"/>
    <w:rsid w:val="12080F6F"/>
    <w:rsid w:val="128F5FEC"/>
    <w:rsid w:val="12B022EF"/>
    <w:rsid w:val="12B03727"/>
    <w:rsid w:val="12D00114"/>
    <w:rsid w:val="12F759C7"/>
    <w:rsid w:val="13002BC1"/>
    <w:rsid w:val="13037AFF"/>
    <w:rsid w:val="130A39C8"/>
    <w:rsid w:val="130D1FF6"/>
    <w:rsid w:val="13465831"/>
    <w:rsid w:val="136012F3"/>
    <w:rsid w:val="13610875"/>
    <w:rsid w:val="14643D5A"/>
    <w:rsid w:val="14BA709B"/>
    <w:rsid w:val="14CE0F7B"/>
    <w:rsid w:val="15042608"/>
    <w:rsid w:val="150A3CFE"/>
    <w:rsid w:val="155451F0"/>
    <w:rsid w:val="15766DC7"/>
    <w:rsid w:val="157E40C1"/>
    <w:rsid w:val="15A211D2"/>
    <w:rsid w:val="162E6FEA"/>
    <w:rsid w:val="16D739ED"/>
    <w:rsid w:val="16E24D80"/>
    <w:rsid w:val="16F056F6"/>
    <w:rsid w:val="170E0DE3"/>
    <w:rsid w:val="1714727D"/>
    <w:rsid w:val="172B1987"/>
    <w:rsid w:val="176374C7"/>
    <w:rsid w:val="177A09F3"/>
    <w:rsid w:val="17B44892"/>
    <w:rsid w:val="17D34DF7"/>
    <w:rsid w:val="17E36B86"/>
    <w:rsid w:val="18004135"/>
    <w:rsid w:val="182002CC"/>
    <w:rsid w:val="186320DE"/>
    <w:rsid w:val="18824467"/>
    <w:rsid w:val="18846C78"/>
    <w:rsid w:val="18BF20D8"/>
    <w:rsid w:val="190B7A04"/>
    <w:rsid w:val="1923023E"/>
    <w:rsid w:val="19580DBB"/>
    <w:rsid w:val="199E60B0"/>
    <w:rsid w:val="19D142E5"/>
    <w:rsid w:val="1A0D215E"/>
    <w:rsid w:val="1A33262A"/>
    <w:rsid w:val="1A674CF4"/>
    <w:rsid w:val="1AD24E61"/>
    <w:rsid w:val="1AE26E55"/>
    <w:rsid w:val="1B43209E"/>
    <w:rsid w:val="1B8E6286"/>
    <w:rsid w:val="1BD25BAA"/>
    <w:rsid w:val="1C2A0BEA"/>
    <w:rsid w:val="1C3F756A"/>
    <w:rsid w:val="1CD51C99"/>
    <w:rsid w:val="1D963BC0"/>
    <w:rsid w:val="1E205BB3"/>
    <w:rsid w:val="1E80364A"/>
    <w:rsid w:val="1E923A11"/>
    <w:rsid w:val="1EB15E43"/>
    <w:rsid w:val="1ECA7D9F"/>
    <w:rsid w:val="1ED2263E"/>
    <w:rsid w:val="1EE01A35"/>
    <w:rsid w:val="1EEE076C"/>
    <w:rsid w:val="1F0223F6"/>
    <w:rsid w:val="1F326D67"/>
    <w:rsid w:val="1F344E85"/>
    <w:rsid w:val="1F4A71E4"/>
    <w:rsid w:val="1FFB57C9"/>
    <w:rsid w:val="208F0BAF"/>
    <w:rsid w:val="20933883"/>
    <w:rsid w:val="20AB4FFC"/>
    <w:rsid w:val="20B87393"/>
    <w:rsid w:val="20DC17C3"/>
    <w:rsid w:val="20E94220"/>
    <w:rsid w:val="211120A0"/>
    <w:rsid w:val="216217DC"/>
    <w:rsid w:val="21C2011F"/>
    <w:rsid w:val="21CF22AA"/>
    <w:rsid w:val="21D45E65"/>
    <w:rsid w:val="21E70095"/>
    <w:rsid w:val="22216C36"/>
    <w:rsid w:val="22680D48"/>
    <w:rsid w:val="22690E77"/>
    <w:rsid w:val="22C41C7A"/>
    <w:rsid w:val="22F72ED4"/>
    <w:rsid w:val="22FE2A6B"/>
    <w:rsid w:val="233A11C9"/>
    <w:rsid w:val="23583C56"/>
    <w:rsid w:val="235C0A1E"/>
    <w:rsid w:val="237B6062"/>
    <w:rsid w:val="239B29E9"/>
    <w:rsid w:val="23A221A9"/>
    <w:rsid w:val="23D15B21"/>
    <w:rsid w:val="240567A5"/>
    <w:rsid w:val="24260B69"/>
    <w:rsid w:val="24362D3F"/>
    <w:rsid w:val="24776EA3"/>
    <w:rsid w:val="24C90492"/>
    <w:rsid w:val="24F51558"/>
    <w:rsid w:val="251536A5"/>
    <w:rsid w:val="25395CE9"/>
    <w:rsid w:val="26B12FA0"/>
    <w:rsid w:val="2725381D"/>
    <w:rsid w:val="274F7DD7"/>
    <w:rsid w:val="27552C23"/>
    <w:rsid w:val="27EC4685"/>
    <w:rsid w:val="27F65B3F"/>
    <w:rsid w:val="28174DF5"/>
    <w:rsid w:val="283F5EEB"/>
    <w:rsid w:val="28535913"/>
    <w:rsid w:val="287D3C4C"/>
    <w:rsid w:val="28D815A3"/>
    <w:rsid w:val="28FC1D31"/>
    <w:rsid w:val="290232C7"/>
    <w:rsid w:val="290E7259"/>
    <w:rsid w:val="292E4C0A"/>
    <w:rsid w:val="293C1D38"/>
    <w:rsid w:val="297E17C5"/>
    <w:rsid w:val="299A3319"/>
    <w:rsid w:val="2A4F0F1C"/>
    <w:rsid w:val="2AD24296"/>
    <w:rsid w:val="2B8A6FC8"/>
    <w:rsid w:val="2B8A7732"/>
    <w:rsid w:val="2BC00A08"/>
    <w:rsid w:val="2C00740D"/>
    <w:rsid w:val="2C2965D2"/>
    <w:rsid w:val="2C296815"/>
    <w:rsid w:val="2C412193"/>
    <w:rsid w:val="2C496CF0"/>
    <w:rsid w:val="2C4D1C7F"/>
    <w:rsid w:val="2C954ED1"/>
    <w:rsid w:val="2CDA3DAE"/>
    <w:rsid w:val="2D025C37"/>
    <w:rsid w:val="2D082089"/>
    <w:rsid w:val="2D6661C5"/>
    <w:rsid w:val="2E400655"/>
    <w:rsid w:val="2E83351C"/>
    <w:rsid w:val="2E9D5597"/>
    <w:rsid w:val="2EA66FF1"/>
    <w:rsid w:val="2EC15A6A"/>
    <w:rsid w:val="2F8A7C15"/>
    <w:rsid w:val="2F996C59"/>
    <w:rsid w:val="2F9A7EF7"/>
    <w:rsid w:val="2FB8288A"/>
    <w:rsid w:val="2FF82D5D"/>
    <w:rsid w:val="30374FD5"/>
    <w:rsid w:val="304325BD"/>
    <w:rsid w:val="30562420"/>
    <w:rsid w:val="30B75591"/>
    <w:rsid w:val="30D70B3E"/>
    <w:rsid w:val="31202EC0"/>
    <w:rsid w:val="312A75D1"/>
    <w:rsid w:val="313655B1"/>
    <w:rsid w:val="313E5CC8"/>
    <w:rsid w:val="31403B5C"/>
    <w:rsid w:val="314B0020"/>
    <w:rsid w:val="31777536"/>
    <w:rsid w:val="31781473"/>
    <w:rsid w:val="317E7DBA"/>
    <w:rsid w:val="31AC4454"/>
    <w:rsid w:val="31DB1DF8"/>
    <w:rsid w:val="32322ACC"/>
    <w:rsid w:val="323A6C5F"/>
    <w:rsid w:val="32623E9F"/>
    <w:rsid w:val="32990C1B"/>
    <w:rsid w:val="32D612FC"/>
    <w:rsid w:val="32D76A89"/>
    <w:rsid w:val="32E908B0"/>
    <w:rsid w:val="333F08CD"/>
    <w:rsid w:val="3375254F"/>
    <w:rsid w:val="33C000C8"/>
    <w:rsid w:val="35053CFD"/>
    <w:rsid w:val="35164B89"/>
    <w:rsid w:val="358E65AF"/>
    <w:rsid w:val="35A003B6"/>
    <w:rsid w:val="35A65915"/>
    <w:rsid w:val="35C50573"/>
    <w:rsid w:val="363C16E6"/>
    <w:rsid w:val="367C2881"/>
    <w:rsid w:val="3689653D"/>
    <w:rsid w:val="36A12B23"/>
    <w:rsid w:val="37240264"/>
    <w:rsid w:val="373223F7"/>
    <w:rsid w:val="377E0C8C"/>
    <w:rsid w:val="37931AEE"/>
    <w:rsid w:val="38634EFE"/>
    <w:rsid w:val="38A01075"/>
    <w:rsid w:val="38A42F87"/>
    <w:rsid w:val="38AC364E"/>
    <w:rsid w:val="38E06570"/>
    <w:rsid w:val="396B6AAD"/>
    <w:rsid w:val="39780644"/>
    <w:rsid w:val="39C12F31"/>
    <w:rsid w:val="39D25E15"/>
    <w:rsid w:val="39D7671B"/>
    <w:rsid w:val="3A724BB1"/>
    <w:rsid w:val="3A782409"/>
    <w:rsid w:val="3A7E6F5A"/>
    <w:rsid w:val="3AD9229D"/>
    <w:rsid w:val="3AED6807"/>
    <w:rsid w:val="3B071ADF"/>
    <w:rsid w:val="3B323CA8"/>
    <w:rsid w:val="3B5660D2"/>
    <w:rsid w:val="3B8A4D60"/>
    <w:rsid w:val="3BFE43E5"/>
    <w:rsid w:val="3C2F0FC9"/>
    <w:rsid w:val="3C456544"/>
    <w:rsid w:val="3CB7052B"/>
    <w:rsid w:val="3CE2768A"/>
    <w:rsid w:val="3CE80F86"/>
    <w:rsid w:val="3D1F2CE7"/>
    <w:rsid w:val="3D3B09C9"/>
    <w:rsid w:val="3D4B3D15"/>
    <w:rsid w:val="3D63071A"/>
    <w:rsid w:val="3D8E4737"/>
    <w:rsid w:val="3DEB7252"/>
    <w:rsid w:val="3DF12A24"/>
    <w:rsid w:val="3DF157F4"/>
    <w:rsid w:val="3DFE0DC8"/>
    <w:rsid w:val="3E4A6F7F"/>
    <w:rsid w:val="3EEA024F"/>
    <w:rsid w:val="3EEF352E"/>
    <w:rsid w:val="3EF6269E"/>
    <w:rsid w:val="3F597983"/>
    <w:rsid w:val="3F5A0851"/>
    <w:rsid w:val="3F8C3FE1"/>
    <w:rsid w:val="3FA0385F"/>
    <w:rsid w:val="3FD458F2"/>
    <w:rsid w:val="3FE67323"/>
    <w:rsid w:val="406F2C5E"/>
    <w:rsid w:val="407C3F94"/>
    <w:rsid w:val="407D64D9"/>
    <w:rsid w:val="40803B56"/>
    <w:rsid w:val="40895F3F"/>
    <w:rsid w:val="4092398E"/>
    <w:rsid w:val="40FD1CE1"/>
    <w:rsid w:val="40FD69D2"/>
    <w:rsid w:val="41271F8E"/>
    <w:rsid w:val="4186190D"/>
    <w:rsid w:val="41BD7549"/>
    <w:rsid w:val="42251C8D"/>
    <w:rsid w:val="423029E0"/>
    <w:rsid w:val="425D0FD1"/>
    <w:rsid w:val="42792EDA"/>
    <w:rsid w:val="42A019B3"/>
    <w:rsid w:val="42A81D93"/>
    <w:rsid w:val="42C1362B"/>
    <w:rsid w:val="42C869EB"/>
    <w:rsid w:val="42CB59D4"/>
    <w:rsid w:val="42FD5F94"/>
    <w:rsid w:val="433406DC"/>
    <w:rsid w:val="433C02D7"/>
    <w:rsid w:val="435F6543"/>
    <w:rsid w:val="43D321DE"/>
    <w:rsid w:val="43FF144C"/>
    <w:rsid w:val="43FF264B"/>
    <w:rsid w:val="443D40CF"/>
    <w:rsid w:val="4479467B"/>
    <w:rsid w:val="44B059B3"/>
    <w:rsid w:val="44E61C9D"/>
    <w:rsid w:val="44FA3A13"/>
    <w:rsid w:val="45022CDB"/>
    <w:rsid w:val="452B1BA6"/>
    <w:rsid w:val="452F3E00"/>
    <w:rsid w:val="45467233"/>
    <w:rsid w:val="45603EF9"/>
    <w:rsid w:val="45B25234"/>
    <w:rsid w:val="45DD7429"/>
    <w:rsid w:val="45E14932"/>
    <w:rsid w:val="45F11042"/>
    <w:rsid w:val="45F8495C"/>
    <w:rsid w:val="464C09D5"/>
    <w:rsid w:val="468C00CA"/>
    <w:rsid w:val="472D45C7"/>
    <w:rsid w:val="473465C4"/>
    <w:rsid w:val="47426F7B"/>
    <w:rsid w:val="478A5177"/>
    <w:rsid w:val="47F95F8C"/>
    <w:rsid w:val="481236CE"/>
    <w:rsid w:val="48130C58"/>
    <w:rsid w:val="483D5833"/>
    <w:rsid w:val="49290668"/>
    <w:rsid w:val="49780269"/>
    <w:rsid w:val="49D16162"/>
    <w:rsid w:val="49F63140"/>
    <w:rsid w:val="49FA33C8"/>
    <w:rsid w:val="4A513790"/>
    <w:rsid w:val="4A885DFF"/>
    <w:rsid w:val="4ABA40F8"/>
    <w:rsid w:val="4B125B42"/>
    <w:rsid w:val="4B2B5DFC"/>
    <w:rsid w:val="4B42441E"/>
    <w:rsid w:val="4B4D4019"/>
    <w:rsid w:val="4B641C06"/>
    <w:rsid w:val="4B865D88"/>
    <w:rsid w:val="4C0030AC"/>
    <w:rsid w:val="4C6C10A0"/>
    <w:rsid w:val="4C7A04DE"/>
    <w:rsid w:val="4CAB0373"/>
    <w:rsid w:val="4CB06001"/>
    <w:rsid w:val="4CB11DB3"/>
    <w:rsid w:val="4CC43BB5"/>
    <w:rsid w:val="4CCD0F39"/>
    <w:rsid w:val="4CFE262E"/>
    <w:rsid w:val="4D297CB1"/>
    <w:rsid w:val="4D5242A6"/>
    <w:rsid w:val="4D5A2EDC"/>
    <w:rsid w:val="4D684347"/>
    <w:rsid w:val="4D6F1F7D"/>
    <w:rsid w:val="4DEF4436"/>
    <w:rsid w:val="4E1E0F92"/>
    <w:rsid w:val="4E3A174D"/>
    <w:rsid w:val="4E3C1427"/>
    <w:rsid w:val="4E616639"/>
    <w:rsid w:val="4E6363AB"/>
    <w:rsid w:val="4E925691"/>
    <w:rsid w:val="4EF406B4"/>
    <w:rsid w:val="4F26634E"/>
    <w:rsid w:val="4F5330BB"/>
    <w:rsid w:val="4F5B4FD0"/>
    <w:rsid w:val="4F5C15AF"/>
    <w:rsid w:val="4F6E749B"/>
    <w:rsid w:val="4F8E47FE"/>
    <w:rsid w:val="4FDD6BFB"/>
    <w:rsid w:val="4FE120DB"/>
    <w:rsid w:val="4FE65B53"/>
    <w:rsid w:val="4FEB6682"/>
    <w:rsid w:val="4FFB6940"/>
    <w:rsid w:val="50125D94"/>
    <w:rsid w:val="502B4495"/>
    <w:rsid w:val="505D112D"/>
    <w:rsid w:val="50E32C3E"/>
    <w:rsid w:val="512079F7"/>
    <w:rsid w:val="514C263D"/>
    <w:rsid w:val="51C85F13"/>
    <w:rsid w:val="51D31D9B"/>
    <w:rsid w:val="51D96D78"/>
    <w:rsid w:val="51EA68A2"/>
    <w:rsid w:val="52123FDD"/>
    <w:rsid w:val="52244A54"/>
    <w:rsid w:val="528331FA"/>
    <w:rsid w:val="52992845"/>
    <w:rsid w:val="52A91A33"/>
    <w:rsid w:val="52CC3963"/>
    <w:rsid w:val="52CE1AE3"/>
    <w:rsid w:val="52E00474"/>
    <w:rsid w:val="537E1B58"/>
    <w:rsid w:val="5415340F"/>
    <w:rsid w:val="543B6BE9"/>
    <w:rsid w:val="54632A8A"/>
    <w:rsid w:val="5495627A"/>
    <w:rsid w:val="54D32F5A"/>
    <w:rsid w:val="5530478A"/>
    <w:rsid w:val="555A67CD"/>
    <w:rsid w:val="55640676"/>
    <w:rsid w:val="557F3C92"/>
    <w:rsid w:val="55A6747C"/>
    <w:rsid w:val="55B54E4E"/>
    <w:rsid w:val="55CD3CB5"/>
    <w:rsid w:val="56185BB4"/>
    <w:rsid w:val="563D2D3D"/>
    <w:rsid w:val="564231F4"/>
    <w:rsid w:val="56A30136"/>
    <w:rsid w:val="56A7386A"/>
    <w:rsid w:val="5752431B"/>
    <w:rsid w:val="5770381E"/>
    <w:rsid w:val="57717C70"/>
    <w:rsid w:val="580974A1"/>
    <w:rsid w:val="5842168A"/>
    <w:rsid w:val="588D76DF"/>
    <w:rsid w:val="58C46142"/>
    <w:rsid w:val="594C2CC4"/>
    <w:rsid w:val="594D6137"/>
    <w:rsid w:val="59640DBB"/>
    <w:rsid w:val="59A86B5A"/>
    <w:rsid w:val="59DB7BE7"/>
    <w:rsid w:val="5A405000"/>
    <w:rsid w:val="5A436A0C"/>
    <w:rsid w:val="5A5A6844"/>
    <w:rsid w:val="5A5B592A"/>
    <w:rsid w:val="5A5F25C6"/>
    <w:rsid w:val="5A78605D"/>
    <w:rsid w:val="5A830357"/>
    <w:rsid w:val="5A8B5725"/>
    <w:rsid w:val="5A997B86"/>
    <w:rsid w:val="5AAD09E0"/>
    <w:rsid w:val="5ABD093B"/>
    <w:rsid w:val="5ADC0FA3"/>
    <w:rsid w:val="5AFA5259"/>
    <w:rsid w:val="5B403856"/>
    <w:rsid w:val="5B546B78"/>
    <w:rsid w:val="5B5A0353"/>
    <w:rsid w:val="5B8538C1"/>
    <w:rsid w:val="5BAA09AC"/>
    <w:rsid w:val="5C0E6971"/>
    <w:rsid w:val="5C0F1DCA"/>
    <w:rsid w:val="5C1254BD"/>
    <w:rsid w:val="5C2E5B2B"/>
    <w:rsid w:val="5C8E7193"/>
    <w:rsid w:val="5CC21AE7"/>
    <w:rsid w:val="5CDB185D"/>
    <w:rsid w:val="5CE65E54"/>
    <w:rsid w:val="5D117FAF"/>
    <w:rsid w:val="5D63717A"/>
    <w:rsid w:val="5DA3588F"/>
    <w:rsid w:val="5DA41851"/>
    <w:rsid w:val="5DAF3BA8"/>
    <w:rsid w:val="5DCC69D4"/>
    <w:rsid w:val="5DD7354D"/>
    <w:rsid w:val="5DD95195"/>
    <w:rsid w:val="5DE768C9"/>
    <w:rsid w:val="5DEA6A4C"/>
    <w:rsid w:val="5E245053"/>
    <w:rsid w:val="5EA21322"/>
    <w:rsid w:val="5F00689F"/>
    <w:rsid w:val="5F46162C"/>
    <w:rsid w:val="5F5864ED"/>
    <w:rsid w:val="5F5C0BD5"/>
    <w:rsid w:val="5F63761E"/>
    <w:rsid w:val="5F667FEC"/>
    <w:rsid w:val="5F9B4C6F"/>
    <w:rsid w:val="5FE23844"/>
    <w:rsid w:val="60016E9A"/>
    <w:rsid w:val="606E1BCC"/>
    <w:rsid w:val="60927351"/>
    <w:rsid w:val="60BE238E"/>
    <w:rsid w:val="61B049D3"/>
    <w:rsid w:val="622F79DB"/>
    <w:rsid w:val="62480D54"/>
    <w:rsid w:val="62524901"/>
    <w:rsid w:val="625F2DD7"/>
    <w:rsid w:val="62747D76"/>
    <w:rsid w:val="62774225"/>
    <w:rsid w:val="628125F1"/>
    <w:rsid w:val="62E01743"/>
    <w:rsid w:val="62EC311A"/>
    <w:rsid w:val="63003B02"/>
    <w:rsid w:val="63087C59"/>
    <w:rsid w:val="63375A4D"/>
    <w:rsid w:val="635A587F"/>
    <w:rsid w:val="63827325"/>
    <w:rsid w:val="638C5A6D"/>
    <w:rsid w:val="638E05A8"/>
    <w:rsid w:val="639B267F"/>
    <w:rsid w:val="63AF5360"/>
    <w:rsid w:val="63DA67E4"/>
    <w:rsid w:val="63E754BD"/>
    <w:rsid w:val="640078D2"/>
    <w:rsid w:val="6426742C"/>
    <w:rsid w:val="644227BA"/>
    <w:rsid w:val="645E18B2"/>
    <w:rsid w:val="648145CB"/>
    <w:rsid w:val="64C8758D"/>
    <w:rsid w:val="64CB4FBA"/>
    <w:rsid w:val="653E6DA1"/>
    <w:rsid w:val="65593FB4"/>
    <w:rsid w:val="656A413E"/>
    <w:rsid w:val="657C07D6"/>
    <w:rsid w:val="65BA04BD"/>
    <w:rsid w:val="661B0509"/>
    <w:rsid w:val="666E2932"/>
    <w:rsid w:val="66B64F5C"/>
    <w:rsid w:val="66D23E18"/>
    <w:rsid w:val="66FF7BBA"/>
    <w:rsid w:val="6760588D"/>
    <w:rsid w:val="676058DF"/>
    <w:rsid w:val="6773145F"/>
    <w:rsid w:val="6782098B"/>
    <w:rsid w:val="67E56DE7"/>
    <w:rsid w:val="68333E29"/>
    <w:rsid w:val="6839585B"/>
    <w:rsid w:val="69184CD4"/>
    <w:rsid w:val="691D54A2"/>
    <w:rsid w:val="698A42C0"/>
    <w:rsid w:val="699A5936"/>
    <w:rsid w:val="69C323C6"/>
    <w:rsid w:val="6A1258C2"/>
    <w:rsid w:val="6A5F11FB"/>
    <w:rsid w:val="6A7C2B95"/>
    <w:rsid w:val="6A9873CE"/>
    <w:rsid w:val="6AC87161"/>
    <w:rsid w:val="6AD13D56"/>
    <w:rsid w:val="6ADA2355"/>
    <w:rsid w:val="6B1707C8"/>
    <w:rsid w:val="6B3C6AE9"/>
    <w:rsid w:val="6B533A81"/>
    <w:rsid w:val="6B8F4A94"/>
    <w:rsid w:val="6BAB7F23"/>
    <w:rsid w:val="6BB95914"/>
    <w:rsid w:val="6BC470CE"/>
    <w:rsid w:val="6BEE41CF"/>
    <w:rsid w:val="6C1473EF"/>
    <w:rsid w:val="6C353D32"/>
    <w:rsid w:val="6C3E266D"/>
    <w:rsid w:val="6C3F5B92"/>
    <w:rsid w:val="6C4663BF"/>
    <w:rsid w:val="6C774B96"/>
    <w:rsid w:val="6C777E4E"/>
    <w:rsid w:val="6C951BD5"/>
    <w:rsid w:val="6CB71120"/>
    <w:rsid w:val="6CFC3931"/>
    <w:rsid w:val="6D0A3CA9"/>
    <w:rsid w:val="6D6B7E9A"/>
    <w:rsid w:val="6D733E18"/>
    <w:rsid w:val="6D742479"/>
    <w:rsid w:val="6D824D80"/>
    <w:rsid w:val="6D9F4229"/>
    <w:rsid w:val="6D9F71C5"/>
    <w:rsid w:val="6DAD5284"/>
    <w:rsid w:val="6DD00AA2"/>
    <w:rsid w:val="6DF27F91"/>
    <w:rsid w:val="6E1D77F6"/>
    <w:rsid w:val="6E4E761C"/>
    <w:rsid w:val="6E5E3DB9"/>
    <w:rsid w:val="6E841688"/>
    <w:rsid w:val="6E842CB6"/>
    <w:rsid w:val="6E986C08"/>
    <w:rsid w:val="6F0C6F9D"/>
    <w:rsid w:val="6F663EFD"/>
    <w:rsid w:val="6F8355EF"/>
    <w:rsid w:val="6F886574"/>
    <w:rsid w:val="6FC87C9D"/>
    <w:rsid w:val="6FF3799E"/>
    <w:rsid w:val="701E067E"/>
    <w:rsid w:val="703D2C8F"/>
    <w:rsid w:val="706A1081"/>
    <w:rsid w:val="706F76AA"/>
    <w:rsid w:val="70AD1FEC"/>
    <w:rsid w:val="70F02608"/>
    <w:rsid w:val="70FA7630"/>
    <w:rsid w:val="710D6CDF"/>
    <w:rsid w:val="71994327"/>
    <w:rsid w:val="71A26EBF"/>
    <w:rsid w:val="71ED0567"/>
    <w:rsid w:val="728A1CAB"/>
    <w:rsid w:val="72AD3874"/>
    <w:rsid w:val="72F85F84"/>
    <w:rsid w:val="73520CAC"/>
    <w:rsid w:val="738E3DF6"/>
    <w:rsid w:val="738F2EB0"/>
    <w:rsid w:val="73A342D6"/>
    <w:rsid w:val="73E13079"/>
    <w:rsid w:val="74111AF1"/>
    <w:rsid w:val="7416419E"/>
    <w:rsid w:val="742E0807"/>
    <w:rsid w:val="744D6AB8"/>
    <w:rsid w:val="746C163C"/>
    <w:rsid w:val="74AE2CDE"/>
    <w:rsid w:val="74CB01C3"/>
    <w:rsid w:val="74DE4CD4"/>
    <w:rsid w:val="74FC1391"/>
    <w:rsid w:val="75386AC2"/>
    <w:rsid w:val="753C5028"/>
    <w:rsid w:val="756E5639"/>
    <w:rsid w:val="75796918"/>
    <w:rsid w:val="7616120A"/>
    <w:rsid w:val="763379F3"/>
    <w:rsid w:val="76857D82"/>
    <w:rsid w:val="768A0E32"/>
    <w:rsid w:val="768E3310"/>
    <w:rsid w:val="76E12715"/>
    <w:rsid w:val="76EE1072"/>
    <w:rsid w:val="77190544"/>
    <w:rsid w:val="774425DC"/>
    <w:rsid w:val="77444FB6"/>
    <w:rsid w:val="774E2A43"/>
    <w:rsid w:val="775B0901"/>
    <w:rsid w:val="775D3B56"/>
    <w:rsid w:val="776D7AE8"/>
    <w:rsid w:val="779C051D"/>
    <w:rsid w:val="779E3E8F"/>
    <w:rsid w:val="77AC16AE"/>
    <w:rsid w:val="77E5284D"/>
    <w:rsid w:val="77EA378E"/>
    <w:rsid w:val="78040857"/>
    <w:rsid w:val="78AF18B6"/>
    <w:rsid w:val="790F4AF8"/>
    <w:rsid w:val="79115136"/>
    <w:rsid w:val="793C59E3"/>
    <w:rsid w:val="794A5C7D"/>
    <w:rsid w:val="7958011C"/>
    <w:rsid w:val="79A47987"/>
    <w:rsid w:val="79B323F6"/>
    <w:rsid w:val="79BC10B0"/>
    <w:rsid w:val="79C129C7"/>
    <w:rsid w:val="79CE287B"/>
    <w:rsid w:val="79DF58A7"/>
    <w:rsid w:val="79ED3F83"/>
    <w:rsid w:val="7A1E1EB0"/>
    <w:rsid w:val="7A8B00F2"/>
    <w:rsid w:val="7A971303"/>
    <w:rsid w:val="7AC86C1E"/>
    <w:rsid w:val="7AFD7BEC"/>
    <w:rsid w:val="7B2F6CBE"/>
    <w:rsid w:val="7B434609"/>
    <w:rsid w:val="7B505832"/>
    <w:rsid w:val="7B732CEB"/>
    <w:rsid w:val="7BBD679B"/>
    <w:rsid w:val="7BC4112E"/>
    <w:rsid w:val="7BE86CE1"/>
    <w:rsid w:val="7BEE4EFF"/>
    <w:rsid w:val="7BFE17E7"/>
    <w:rsid w:val="7C4C243A"/>
    <w:rsid w:val="7C9B15F6"/>
    <w:rsid w:val="7C9C4100"/>
    <w:rsid w:val="7CC310CF"/>
    <w:rsid w:val="7CD04F80"/>
    <w:rsid w:val="7CD2020C"/>
    <w:rsid w:val="7CEC469E"/>
    <w:rsid w:val="7D467FF6"/>
    <w:rsid w:val="7D5852E2"/>
    <w:rsid w:val="7DA07808"/>
    <w:rsid w:val="7DC41E03"/>
    <w:rsid w:val="7EE84799"/>
    <w:rsid w:val="7F430434"/>
    <w:rsid w:val="7F66783B"/>
    <w:rsid w:val="7FBB0A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nhideWhenUsed="0" w:uiPriority="0" w:semiHidden="0" w:name="HTML Preformatted"/>
    <w:lsdException w:qFormat="1" w:uiPriority="99" w:semiHidden="0" w:name="HTML Sample"/>
    <w:lsdException w:unhideWhenUsed="0" w:uiPriority="0" w:semiHidden="0" w:name="HTML Typewriter"/>
    <w:lsdException w:qFormat="1" w:uiPriority="99"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8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85"/>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6">
    <w:name w:val="heading 3"/>
    <w:basedOn w:val="1"/>
    <w:next w:val="1"/>
    <w:qFormat/>
    <w:uiPriority w:val="9"/>
    <w:pPr>
      <w:keepNext/>
      <w:keepLines/>
      <w:spacing w:before="260" w:after="260" w:line="416" w:lineRule="auto"/>
      <w:outlineLvl w:val="2"/>
    </w:pPr>
    <w:rPr>
      <w:b/>
      <w:kern w:val="0"/>
      <w:sz w:val="32"/>
      <w:szCs w:val="20"/>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link w:val="68"/>
    <w:unhideWhenUsed/>
    <w:qFormat/>
    <w:uiPriority w:val="99"/>
    <w:pPr>
      <w:spacing w:line="400" w:lineRule="exact"/>
      <w:ind w:firstLine="540" w:firstLineChars="225"/>
    </w:pPr>
    <w:rPr>
      <w:sz w:val="24"/>
    </w:rPr>
  </w:style>
  <w:style w:type="paragraph" w:styleId="3">
    <w:name w:val="envelope return"/>
    <w:basedOn w:val="1"/>
    <w:unhideWhenUsed/>
    <w:qFormat/>
    <w:uiPriority w:val="99"/>
    <w:rPr>
      <w:rFonts w:ascii="Arial" w:hAnsi="Arial"/>
    </w:rPr>
  </w:style>
  <w:style w:type="paragraph" w:styleId="7">
    <w:name w:val="Normal Indent"/>
    <w:basedOn w:val="1"/>
    <w:next w:val="1"/>
    <w:link w:val="81"/>
    <w:qFormat/>
    <w:uiPriority w:val="0"/>
    <w:pPr>
      <w:ind w:firstLine="420"/>
    </w:pPr>
    <w:rPr>
      <w:kern w:val="0"/>
      <w:sz w:val="20"/>
      <w:szCs w:val="21"/>
    </w:rPr>
  </w:style>
  <w:style w:type="paragraph" w:styleId="8">
    <w:name w:val="Document Map"/>
    <w:basedOn w:val="1"/>
    <w:link w:val="72"/>
    <w:unhideWhenUsed/>
    <w:qFormat/>
    <w:uiPriority w:val="99"/>
    <w:rPr>
      <w:rFonts w:ascii="宋体"/>
      <w:sz w:val="18"/>
      <w:szCs w:val="18"/>
    </w:rPr>
  </w:style>
  <w:style w:type="paragraph" w:styleId="9">
    <w:name w:val="annotation text"/>
    <w:basedOn w:val="1"/>
    <w:link w:val="45"/>
    <w:unhideWhenUsed/>
    <w:qFormat/>
    <w:uiPriority w:val="99"/>
    <w:pPr>
      <w:jc w:val="left"/>
    </w:pPr>
  </w:style>
  <w:style w:type="paragraph" w:styleId="10">
    <w:name w:val="Body Text 3"/>
    <w:basedOn w:val="1"/>
    <w:next w:val="1"/>
    <w:qFormat/>
    <w:uiPriority w:val="0"/>
    <w:pPr>
      <w:spacing w:after="120"/>
    </w:pPr>
    <w:rPr>
      <w:sz w:val="16"/>
      <w:szCs w:val="16"/>
    </w:rPr>
  </w:style>
  <w:style w:type="paragraph" w:styleId="11">
    <w:name w:val="Body Text"/>
    <w:basedOn w:val="1"/>
    <w:next w:val="12"/>
    <w:link w:val="52"/>
    <w:unhideWhenUsed/>
    <w:qFormat/>
    <w:uiPriority w:val="99"/>
    <w:rPr>
      <w:rFonts w:ascii="楷体_GB2312" w:hAnsi="Arial" w:eastAsia="楷体_GB2312"/>
      <w:kern w:val="0"/>
      <w:sz w:val="28"/>
      <w:szCs w:val="28"/>
    </w:rPr>
  </w:style>
  <w:style w:type="paragraph" w:styleId="12">
    <w:name w:val="Body Text 2"/>
    <w:basedOn w:val="1"/>
    <w:qFormat/>
    <w:uiPriority w:val="0"/>
    <w:pPr>
      <w:spacing w:after="120" w:line="480" w:lineRule="auto"/>
    </w:pPr>
  </w:style>
  <w:style w:type="paragraph" w:styleId="13">
    <w:name w:val="Plain Text"/>
    <w:basedOn w:val="1"/>
    <w:link w:val="51"/>
    <w:qFormat/>
    <w:uiPriority w:val="0"/>
    <w:rPr>
      <w:rFonts w:ascii="宋体" w:hAnsi="Courier New"/>
      <w:kern w:val="0"/>
      <w:sz w:val="20"/>
      <w:szCs w:val="21"/>
    </w:rPr>
  </w:style>
  <w:style w:type="paragraph" w:styleId="14">
    <w:name w:val="Date"/>
    <w:basedOn w:val="1"/>
    <w:next w:val="1"/>
    <w:link w:val="50"/>
    <w:qFormat/>
    <w:uiPriority w:val="0"/>
    <w:rPr>
      <w:kern w:val="0"/>
      <w:sz w:val="24"/>
      <w:szCs w:val="20"/>
    </w:rPr>
  </w:style>
  <w:style w:type="paragraph" w:styleId="15">
    <w:name w:val="Body Text Indent 2"/>
    <w:basedOn w:val="1"/>
    <w:unhideWhenUsed/>
    <w:qFormat/>
    <w:uiPriority w:val="99"/>
    <w:pPr>
      <w:spacing w:line="520" w:lineRule="exact"/>
      <w:ind w:firstLine="510"/>
    </w:pPr>
    <w:rPr>
      <w:rFonts w:ascii="华文仿宋" w:eastAsia="华文仿宋"/>
      <w:sz w:val="28"/>
    </w:rPr>
  </w:style>
  <w:style w:type="paragraph" w:styleId="16">
    <w:name w:val="Balloon Text"/>
    <w:basedOn w:val="1"/>
    <w:link w:val="80"/>
    <w:unhideWhenUsed/>
    <w:qFormat/>
    <w:uiPriority w:val="99"/>
    <w:rPr>
      <w:kern w:val="0"/>
      <w:sz w:val="18"/>
      <w:szCs w:val="18"/>
    </w:rPr>
  </w:style>
  <w:style w:type="paragraph" w:styleId="17">
    <w:name w:val="footer"/>
    <w:basedOn w:val="1"/>
    <w:link w:val="64"/>
    <w:unhideWhenUsed/>
    <w:qFormat/>
    <w:uiPriority w:val="99"/>
    <w:pPr>
      <w:tabs>
        <w:tab w:val="center" w:pos="4153"/>
        <w:tab w:val="right" w:pos="8306"/>
      </w:tabs>
      <w:jc w:val="left"/>
    </w:pPr>
    <w:rPr>
      <w:kern w:val="0"/>
      <w:sz w:val="18"/>
      <w:szCs w:val="18"/>
    </w:rPr>
  </w:style>
  <w:style w:type="paragraph" w:styleId="18">
    <w:name w:val="header"/>
    <w:basedOn w:val="1"/>
    <w:link w:val="43"/>
    <w:unhideWhenUsed/>
    <w:qFormat/>
    <w:uiPriority w:val="99"/>
    <w:pPr>
      <w:pBdr>
        <w:bottom w:val="single" w:color="000000" w:sz="6" w:space="1"/>
      </w:pBdr>
      <w:tabs>
        <w:tab w:val="center" w:pos="4153"/>
        <w:tab w:val="right" w:pos="8306"/>
      </w:tabs>
      <w:jc w:val="center"/>
    </w:pPr>
    <w:rPr>
      <w:kern w:val="0"/>
      <w:sz w:val="18"/>
      <w:szCs w:val="18"/>
    </w:rPr>
  </w:style>
  <w:style w:type="paragraph" w:styleId="19">
    <w:name w:val="toc 1"/>
    <w:basedOn w:val="1"/>
    <w:next w:val="1"/>
    <w:unhideWhenUsed/>
    <w:qFormat/>
    <w:uiPriority w:val="39"/>
  </w:style>
  <w:style w:type="paragraph" w:styleId="20">
    <w:name w:val="Body Text Indent 3"/>
    <w:basedOn w:val="1"/>
    <w:qFormat/>
    <w:uiPriority w:val="0"/>
    <w:pPr>
      <w:spacing w:line="440" w:lineRule="atLeast"/>
      <w:ind w:firstLine="480" w:firstLineChars="200"/>
      <w:jc w:val="left"/>
    </w:pPr>
    <w:rPr>
      <w:kern w:val="0"/>
      <w:sz w:val="24"/>
    </w:rPr>
  </w:style>
  <w:style w:type="paragraph" w:styleId="21">
    <w:name w:val="toc 2"/>
    <w:basedOn w:val="1"/>
    <w:next w:val="1"/>
    <w:unhideWhenUsed/>
    <w:qFormat/>
    <w:uiPriority w:val="39"/>
    <w:pPr>
      <w:ind w:left="420" w:leftChars="200"/>
    </w:p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3">
    <w:name w:val="annotation subject"/>
    <w:basedOn w:val="9"/>
    <w:next w:val="9"/>
    <w:link w:val="71"/>
    <w:unhideWhenUsed/>
    <w:qFormat/>
    <w:uiPriority w:val="0"/>
    <w:rPr>
      <w:b/>
      <w:bCs/>
    </w:rPr>
  </w:style>
  <w:style w:type="paragraph" w:styleId="24">
    <w:name w:val="Body Text First Indent"/>
    <w:basedOn w:val="11"/>
    <w:qFormat/>
    <w:uiPriority w:val="0"/>
    <w:pPr>
      <w:ind w:firstLine="420" w:firstLineChars="100"/>
    </w:pPr>
  </w:style>
  <w:style w:type="paragraph" w:styleId="25">
    <w:name w:val="Body Text First Indent 2"/>
    <w:basedOn w:val="2"/>
    <w:unhideWhenUsed/>
    <w:qFormat/>
    <w:uiPriority w:val="99"/>
    <w:pPr>
      <w:ind w:firstLine="420" w:firstLineChars="200"/>
    </w:pPr>
  </w:style>
  <w:style w:type="table" w:styleId="27">
    <w:name w:val="Table Grid"/>
    <w:basedOn w:val="26"/>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rPr>
  </w:style>
  <w:style w:type="character" w:styleId="30">
    <w:name w:val="page number"/>
    <w:unhideWhenUsed/>
    <w:qFormat/>
    <w:uiPriority w:val="99"/>
  </w:style>
  <w:style w:type="character" w:styleId="31">
    <w:name w:val="FollowedHyperlink"/>
    <w:unhideWhenUsed/>
    <w:qFormat/>
    <w:uiPriority w:val="99"/>
    <w:rPr>
      <w:color w:val="338DE6"/>
      <w:u w:val="none"/>
    </w:rPr>
  </w:style>
  <w:style w:type="character" w:styleId="32">
    <w:name w:val="Emphasis"/>
    <w:qFormat/>
    <w:uiPriority w:val="20"/>
  </w:style>
  <w:style w:type="character" w:styleId="33">
    <w:name w:val="HTML Definition"/>
    <w:unhideWhenUsed/>
    <w:qFormat/>
    <w:uiPriority w:val="99"/>
  </w:style>
  <w:style w:type="character" w:styleId="34">
    <w:name w:val="HTML Variable"/>
    <w:unhideWhenUsed/>
    <w:qFormat/>
    <w:uiPriority w:val="99"/>
  </w:style>
  <w:style w:type="character" w:styleId="35">
    <w:name w:val="Hyperlink"/>
    <w:unhideWhenUsed/>
    <w:qFormat/>
    <w:uiPriority w:val="99"/>
    <w:rPr>
      <w:color w:val="338DE6"/>
      <w:u w:val="none"/>
    </w:rPr>
  </w:style>
  <w:style w:type="character" w:styleId="36">
    <w:name w:val="HTML Code"/>
    <w:unhideWhenUsed/>
    <w:qFormat/>
    <w:uiPriority w:val="99"/>
    <w:rPr>
      <w:rFonts w:ascii="serif" w:hAnsi="serif" w:eastAsia="serif" w:cs="serif"/>
      <w:sz w:val="21"/>
      <w:szCs w:val="21"/>
    </w:rPr>
  </w:style>
  <w:style w:type="character" w:styleId="37">
    <w:name w:val="annotation reference"/>
    <w:unhideWhenUsed/>
    <w:qFormat/>
    <w:uiPriority w:val="99"/>
    <w:rPr>
      <w:sz w:val="21"/>
      <w:szCs w:val="21"/>
    </w:rPr>
  </w:style>
  <w:style w:type="character" w:styleId="38">
    <w:name w:val="HTML Cite"/>
    <w:unhideWhenUsed/>
    <w:qFormat/>
    <w:uiPriority w:val="99"/>
  </w:style>
  <w:style w:type="character" w:styleId="39">
    <w:name w:val="HTML Keyboard"/>
    <w:unhideWhenUsed/>
    <w:qFormat/>
    <w:uiPriority w:val="99"/>
    <w:rPr>
      <w:rFonts w:ascii="serif" w:hAnsi="serif" w:eastAsia="serif" w:cs="serif"/>
      <w:sz w:val="21"/>
      <w:szCs w:val="21"/>
    </w:rPr>
  </w:style>
  <w:style w:type="character" w:styleId="40">
    <w:name w:val="HTML Sample"/>
    <w:unhideWhenUsed/>
    <w:qFormat/>
    <w:uiPriority w:val="99"/>
    <w:rPr>
      <w:rFonts w:ascii="serif" w:hAnsi="serif" w:eastAsia="serif" w:cs="serif"/>
      <w:sz w:val="21"/>
      <w:szCs w:val="21"/>
    </w:rPr>
  </w:style>
  <w:style w:type="paragraph" w:customStyle="1" w:styleId="41">
    <w:name w:val="表格文字"/>
    <w:basedOn w:val="1"/>
    <w:next w:val="1"/>
    <w:qFormat/>
    <w:uiPriority w:val="0"/>
    <w:pPr>
      <w:spacing w:line="240" w:lineRule="auto"/>
      <w:ind w:firstLine="723" w:firstLineChars="200"/>
      <w:jc w:val="left"/>
    </w:pPr>
  </w:style>
  <w:style w:type="paragraph" w:customStyle="1" w:styleId="42">
    <w:name w:val="正文 1.1.1"/>
    <w:basedOn w:val="1"/>
    <w:next w:val="1"/>
    <w:qFormat/>
    <w:uiPriority w:val="0"/>
    <w:pPr>
      <w:numPr>
        <w:ilvl w:val="2"/>
        <w:numId w:val="1"/>
      </w:numPr>
      <w:tabs>
        <w:tab w:val="clear" w:pos="851"/>
      </w:tabs>
      <w:outlineLvl w:val="2"/>
    </w:pPr>
    <w:rPr>
      <w:rFonts w:hAnsi="宋体"/>
      <w:color w:val="FF0000"/>
    </w:rPr>
  </w:style>
  <w:style w:type="character" w:customStyle="1" w:styleId="43">
    <w:name w:val="页眉 Char"/>
    <w:link w:val="18"/>
    <w:qFormat/>
    <w:uiPriority w:val="99"/>
    <w:rPr>
      <w:sz w:val="18"/>
      <w:szCs w:val="18"/>
    </w:rPr>
  </w:style>
  <w:style w:type="paragraph" w:customStyle="1" w:styleId="44">
    <w:name w:val="表格"/>
    <w:basedOn w:val="25"/>
    <w:next w:val="1"/>
    <w:qFormat/>
    <w:uiPriority w:val="0"/>
    <w:pPr>
      <w:spacing w:line="240" w:lineRule="auto"/>
      <w:ind w:firstLine="0" w:firstLineChars="0"/>
      <w:jc w:val="center"/>
    </w:pPr>
  </w:style>
  <w:style w:type="character" w:customStyle="1" w:styleId="45">
    <w:name w:val="批注文字 Char"/>
    <w:link w:val="9"/>
    <w:qFormat/>
    <w:uiPriority w:val="99"/>
    <w:rPr>
      <w:kern w:val="2"/>
      <w:sz w:val="21"/>
      <w:szCs w:val="22"/>
    </w:rPr>
  </w:style>
  <w:style w:type="paragraph" w:customStyle="1" w:styleId="46">
    <w:name w:val="4 Char"/>
    <w:basedOn w:val="1"/>
    <w:qFormat/>
    <w:uiPriority w:val="0"/>
    <w:rPr>
      <w:sz w:val="30"/>
    </w:rPr>
  </w:style>
  <w:style w:type="paragraph" w:customStyle="1" w:styleId="47">
    <w:name w:val="列出段落1"/>
    <w:basedOn w:val="1"/>
    <w:link w:val="78"/>
    <w:qFormat/>
    <w:uiPriority w:val="0"/>
    <w:pPr>
      <w:widowControl/>
      <w:ind w:left="720"/>
      <w:contextualSpacing/>
      <w:jc w:val="left"/>
    </w:pPr>
    <w:rPr>
      <w:rFonts w:ascii="Calibri" w:hAnsi="Calibri"/>
      <w:kern w:val="0"/>
      <w:sz w:val="24"/>
      <w:szCs w:val="24"/>
      <w:lang w:eastAsia="en-US" w:bidi="en-US"/>
    </w:rPr>
  </w:style>
  <w:style w:type="character" w:customStyle="1" w:styleId="48">
    <w:name w:val="fontborder"/>
    <w:qFormat/>
    <w:uiPriority w:val="0"/>
    <w:rPr>
      <w:bdr w:val="single" w:color="000000" w:sz="6" w:space="0"/>
    </w:rPr>
  </w:style>
  <w:style w:type="character" w:customStyle="1" w:styleId="49">
    <w:name w:val="font81"/>
    <w:qFormat/>
    <w:uiPriority w:val="0"/>
    <w:rPr>
      <w:rFonts w:hint="eastAsia" w:ascii="宋体" w:hAnsi="宋体" w:eastAsia="宋体" w:cs="宋体"/>
      <w:color w:val="000000"/>
      <w:sz w:val="22"/>
      <w:szCs w:val="22"/>
      <w:u w:val="none"/>
    </w:rPr>
  </w:style>
  <w:style w:type="character" w:customStyle="1" w:styleId="50">
    <w:name w:val="日期 Char"/>
    <w:link w:val="14"/>
    <w:qFormat/>
    <w:uiPriority w:val="0"/>
    <w:rPr>
      <w:rFonts w:ascii="Times New Roman" w:hAnsi="Times New Roman" w:eastAsia="宋体" w:cs="Times New Roman"/>
      <w:sz w:val="24"/>
      <w:szCs w:val="20"/>
    </w:rPr>
  </w:style>
  <w:style w:type="character" w:customStyle="1" w:styleId="51">
    <w:name w:val="纯文本 Char"/>
    <w:link w:val="13"/>
    <w:qFormat/>
    <w:uiPriority w:val="0"/>
    <w:rPr>
      <w:rFonts w:ascii="宋体" w:hAnsi="Courier New" w:eastAsia="宋体" w:cs="Times New Roman"/>
      <w:szCs w:val="21"/>
    </w:rPr>
  </w:style>
  <w:style w:type="character" w:customStyle="1" w:styleId="52">
    <w:name w:val="正文文本 Char"/>
    <w:link w:val="11"/>
    <w:qFormat/>
    <w:uiPriority w:val="0"/>
    <w:rPr>
      <w:rFonts w:ascii="Times New Roman" w:hAnsi="Times New Roman" w:cs="Times New Roman"/>
      <w:kern w:val="2"/>
      <w:sz w:val="28"/>
    </w:rPr>
  </w:style>
  <w:style w:type="paragraph" w:customStyle="1" w:styleId="53">
    <w:name w:val="CD 正文"/>
    <w:basedOn w:val="1"/>
    <w:qFormat/>
    <w:uiPriority w:val="0"/>
    <w:pPr>
      <w:jc w:val="left"/>
    </w:pPr>
    <w:rPr>
      <w:rFonts w:ascii="Arial" w:hAnsi="Arial" w:eastAsia="微软雅黑" w:cs="Arial"/>
      <w:szCs w:val="21"/>
    </w:rPr>
  </w:style>
  <w:style w:type="paragraph" w:customStyle="1" w:styleId="54">
    <w:name w:val="普通正文"/>
    <w:basedOn w:val="1"/>
    <w:qFormat/>
    <w:uiPriority w:val="0"/>
    <w:pPr>
      <w:spacing w:before="120" w:after="120" w:line="360" w:lineRule="auto"/>
      <w:ind w:firstLine="480"/>
      <w:jc w:val="left"/>
    </w:pPr>
    <w:rPr>
      <w:rFonts w:ascii="Arial" w:hAnsi="Arial"/>
      <w:kern w:val="0"/>
      <w:sz w:val="24"/>
      <w:szCs w:val="24"/>
    </w:rPr>
  </w:style>
  <w:style w:type="paragraph" w:customStyle="1" w:styleId="55">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56">
    <w:name w:val="论文正文"/>
    <w:basedOn w:val="1"/>
    <w:qFormat/>
    <w:uiPriority w:val="99"/>
    <w:pPr>
      <w:spacing w:line="360" w:lineRule="auto"/>
      <w:ind w:firstLine="420" w:firstLineChars="200"/>
    </w:pPr>
    <w:rPr>
      <w:sz w:val="24"/>
      <w:szCs w:val="24"/>
    </w:rPr>
  </w:style>
  <w:style w:type="paragraph" w:customStyle="1" w:styleId="57">
    <w:name w:val="正文 A"/>
    <w:next w:val="58"/>
    <w:qFormat/>
    <w:uiPriority w:val="0"/>
    <w:pPr>
      <w:framePr w:wrap="around" w:vAnchor="margin" w:hAnchor="text" w:yAlign="top"/>
      <w:widowControl w:val="0"/>
      <w:spacing w:after="160" w:line="278" w:lineRule="auto"/>
      <w:jc w:val="both"/>
    </w:pPr>
    <w:rPr>
      <w:rFonts w:ascii="Times New Roman" w:hAnsi="Times New Roman" w:eastAsia="Times New Roman" w:cs="Times New Roman"/>
      <w:color w:val="000000"/>
      <w:kern w:val="2"/>
      <w:sz w:val="21"/>
      <w:szCs w:val="21"/>
      <w:lang w:val="en-US" w:eastAsia="zh-CN" w:bidi="ar-SA"/>
    </w:rPr>
  </w:style>
  <w:style w:type="paragraph" w:customStyle="1" w:styleId="58">
    <w:name w:val="段"/>
    <w:next w:val="57"/>
    <w:qFormat/>
    <w:uiPriority w:val="0"/>
    <w:pPr>
      <w:autoSpaceDE w:val="0"/>
      <w:autoSpaceDN w:val="0"/>
      <w:spacing w:after="160" w:line="278" w:lineRule="auto"/>
      <w:ind w:firstLine="200" w:firstLineChars="200"/>
      <w:jc w:val="both"/>
    </w:pPr>
    <w:rPr>
      <w:rFonts w:ascii="宋体" w:hAnsi="Times New Roman" w:eastAsia="宋体" w:cs="Times New Roman"/>
      <w:kern w:val="2"/>
      <w:sz w:val="21"/>
      <w:szCs w:val="22"/>
      <w:lang w:val="en-US" w:eastAsia="zh-CN" w:bidi="ar-SA"/>
    </w:rPr>
  </w:style>
  <w:style w:type="paragraph" w:customStyle="1" w:styleId="59">
    <w:name w:val="Char"/>
    <w:basedOn w:val="1"/>
    <w:qFormat/>
    <w:uiPriority w:val="0"/>
    <w:pPr>
      <w:tabs>
        <w:tab w:val="left" w:pos="360"/>
      </w:tabs>
      <w:ind w:firstLine="200" w:firstLineChars="200"/>
    </w:pPr>
    <w:rPr>
      <w:sz w:val="28"/>
      <w:szCs w:val="30"/>
    </w:rPr>
  </w:style>
  <w:style w:type="paragraph" w:customStyle="1" w:styleId="60">
    <w:name w:val="2"/>
    <w:next w:val="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61">
    <w:name w:val="正文（缩进）"/>
    <w:basedOn w:val="1"/>
    <w:unhideWhenUsed/>
    <w:qFormat/>
    <w:uiPriority w:val="0"/>
    <w:rPr>
      <w:rFonts w:hint="eastAsia" w:ascii="宋体"/>
      <w:szCs w:val="21"/>
    </w:rPr>
  </w:style>
  <w:style w:type="paragraph" w:customStyle="1" w:styleId="62">
    <w:name w:val="列表段落1"/>
    <w:basedOn w:val="1"/>
    <w:qFormat/>
    <w:uiPriority w:val="0"/>
    <w:pPr>
      <w:ind w:firstLine="420" w:firstLineChars="200"/>
    </w:pPr>
    <w:rPr>
      <w:rFonts w:eastAsia="楷体_GB2312"/>
      <w:sz w:val="26"/>
      <w:szCs w:val="20"/>
    </w:rPr>
  </w:style>
  <w:style w:type="table" w:customStyle="1" w:styleId="63">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64">
    <w:name w:val="页脚 Char"/>
    <w:link w:val="17"/>
    <w:qFormat/>
    <w:uiPriority w:val="99"/>
    <w:rPr>
      <w:sz w:val="18"/>
      <w:szCs w:val="18"/>
    </w:rPr>
  </w:style>
  <w:style w:type="paragraph" w:customStyle="1" w:styleId="65">
    <w:name w:val="无间隔1"/>
    <w:qFormat/>
    <w:uiPriority w:val="1"/>
    <w:pPr>
      <w:widowControl w:val="0"/>
      <w:spacing w:after="160" w:line="278" w:lineRule="auto"/>
      <w:jc w:val="both"/>
    </w:pPr>
    <w:rPr>
      <w:rFonts w:ascii="Times New Roman" w:hAnsi="Times New Roman" w:eastAsia="宋体" w:cs="Times New Roman"/>
      <w:kern w:val="2"/>
      <w:sz w:val="21"/>
      <w:szCs w:val="22"/>
      <w:lang w:val="en-US" w:eastAsia="zh-CN" w:bidi="ar-SA"/>
    </w:rPr>
  </w:style>
  <w:style w:type="paragraph" w:customStyle="1" w:styleId="66">
    <w:name w:val="正文 1.1"/>
    <w:basedOn w:val="1"/>
    <w:next w:val="42"/>
    <w:qFormat/>
    <w:uiPriority w:val="0"/>
    <w:pPr>
      <w:numPr>
        <w:ilvl w:val="1"/>
        <w:numId w:val="1"/>
      </w:numPr>
      <w:tabs>
        <w:tab w:val="clear" w:pos="851"/>
      </w:tabs>
      <w:ind w:firstLine="550"/>
      <w:outlineLvl w:val="1"/>
    </w:pPr>
    <w:rPr>
      <w:rFonts w:ascii="仿宋" w:hAnsi="仿宋"/>
      <w:b/>
    </w:rPr>
  </w:style>
  <w:style w:type="character" w:customStyle="1" w:styleId="67">
    <w:name w:val="font51"/>
    <w:qFormat/>
    <w:uiPriority w:val="0"/>
    <w:rPr>
      <w:rFonts w:ascii="Times New Roman" w:hAnsi="Times New Roman" w:cs="Times New Roman"/>
      <w:color w:val="000000"/>
      <w:sz w:val="22"/>
      <w:szCs w:val="22"/>
      <w:u w:val="none"/>
    </w:rPr>
  </w:style>
  <w:style w:type="character" w:customStyle="1" w:styleId="68">
    <w:name w:val="正文文本缩进 Char"/>
    <w:link w:val="2"/>
    <w:qFormat/>
    <w:uiPriority w:val="0"/>
    <w:rPr>
      <w:kern w:val="2"/>
      <w:sz w:val="21"/>
      <w:szCs w:val="22"/>
    </w:rPr>
  </w:style>
  <w:style w:type="paragraph" w:customStyle="1" w:styleId="69">
    <w:name w:val="修订1"/>
    <w:unhideWhenUsed/>
    <w:qFormat/>
    <w:uiPriority w:val="99"/>
    <w:pPr>
      <w:spacing w:after="160" w:line="278" w:lineRule="auto"/>
    </w:pPr>
    <w:rPr>
      <w:rFonts w:ascii="Times New Roman" w:hAnsi="Times New Roman" w:eastAsia="宋体" w:cs="Times New Roman"/>
      <w:kern w:val="2"/>
      <w:sz w:val="21"/>
      <w:szCs w:val="22"/>
      <w:lang w:val="en-US" w:eastAsia="zh-CN" w:bidi="ar-SA"/>
    </w:rPr>
  </w:style>
  <w:style w:type="character" w:customStyle="1" w:styleId="70">
    <w:name w:val="font71"/>
    <w:qFormat/>
    <w:uiPriority w:val="0"/>
    <w:rPr>
      <w:rFonts w:hint="eastAsia" w:ascii="等线" w:hAnsi="等线" w:eastAsia="等线" w:cs="等线"/>
      <w:color w:val="000000"/>
      <w:sz w:val="22"/>
      <w:szCs w:val="22"/>
      <w:u w:val="none"/>
    </w:rPr>
  </w:style>
  <w:style w:type="character" w:customStyle="1" w:styleId="71">
    <w:name w:val="批注主题 Char"/>
    <w:link w:val="23"/>
    <w:qFormat/>
    <w:uiPriority w:val="0"/>
  </w:style>
  <w:style w:type="character" w:customStyle="1" w:styleId="72">
    <w:name w:val="文档结构图 Char"/>
    <w:link w:val="8"/>
    <w:semiHidden/>
    <w:qFormat/>
    <w:uiPriority w:val="99"/>
    <w:rPr>
      <w:rFonts w:ascii="宋体"/>
      <w:kern w:val="2"/>
      <w:sz w:val="18"/>
      <w:szCs w:val="18"/>
    </w:rPr>
  </w:style>
  <w:style w:type="paragraph" w:customStyle="1" w:styleId="73">
    <w:name w:val="张勋节格式居中"/>
    <w:qFormat/>
    <w:uiPriority w:val="99"/>
    <w:pPr>
      <w:spacing w:before="100" w:beforeAutospacing="1" w:after="100" w:afterAutospacing="1" w:line="360" w:lineRule="exact"/>
      <w:ind w:firstLine="480"/>
      <w:jc w:val="center"/>
    </w:pPr>
    <w:rPr>
      <w:rFonts w:ascii="宋体" w:hAnsi="Times New Roman" w:eastAsia="宋体" w:cs="宋体"/>
      <w:b/>
      <w:kern w:val="2"/>
      <w:sz w:val="28"/>
      <w:szCs w:val="28"/>
      <w:lang w:val="zh-CN" w:eastAsia="zh-CN" w:bidi="ar-SA"/>
    </w:rPr>
  </w:style>
  <w:style w:type="paragraph" w:customStyle="1" w:styleId="74">
    <w:name w:val="正文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customStyle="1" w:styleId="75">
    <w:name w:val="fontstrikethrough"/>
    <w:qFormat/>
    <w:uiPriority w:val="0"/>
    <w:rPr>
      <w:strike/>
    </w:rPr>
  </w:style>
  <w:style w:type="paragraph" w:customStyle="1" w:styleId="76">
    <w:name w:val="普通文字"/>
    <w:basedOn w:val="1"/>
    <w:next w:val="1"/>
    <w:qFormat/>
    <w:uiPriority w:val="0"/>
    <w:rPr>
      <w:rFonts w:ascii="宋体"/>
      <w:kern w:val="0"/>
      <w:sz w:val="24"/>
      <w:szCs w:val="20"/>
    </w:rPr>
  </w:style>
  <w:style w:type="paragraph" w:customStyle="1" w:styleId="77">
    <w:name w:val="style4"/>
    <w:basedOn w:val="1"/>
    <w:next w:val="60"/>
    <w:qFormat/>
    <w:uiPriority w:val="0"/>
    <w:pPr>
      <w:widowControl/>
      <w:spacing w:before="100" w:beforeAutospacing="1" w:after="100" w:afterAutospacing="1"/>
      <w:jc w:val="left"/>
    </w:pPr>
    <w:rPr>
      <w:rFonts w:ascii="宋体" w:hAnsi="宋体" w:cs="宋体"/>
      <w:kern w:val="0"/>
      <w:sz w:val="18"/>
      <w:szCs w:val="18"/>
    </w:rPr>
  </w:style>
  <w:style w:type="character" w:customStyle="1" w:styleId="78">
    <w:name w:val="列出段落 Char"/>
    <w:link w:val="47"/>
    <w:qFormat/>
    <w:locked/>
    <w:uiPriority w:val="0"/>
    <w:rPr>
      <w:rFonts w:ascii="Calibri" w:hAnsi="Calibri" w:eastAsia="宋体" w:cs="Times New Roman"/>
      <w:kern w:val="0"/>
      <w:sz w:val="24"/>
      <w:szCs w:val="24"/>
      <w:lang w:eastAsia="en-US" w:bidi="en-US"/>
    </w:rPr>
  </w:style>
  <w:style w:type="paragraph" w:customStyle="1" w:styleId="79">
    <w:name w:val="正文空2格  1."/>
    <w:basedOn w:val="1"/>
    <w:qFormat/>
    <w:uiPriority w:val="0"/>
    <w:pPr>
      <w:ind w:firstLine="480" w:firstLineChars="200"/>
    </w:pPr>
    <w:rPr>
      <w:rFonts w:cs="宋体"/>
      <w:sz w:val="28"/>
      <w:szCs w:val="20"/>
    </w:rPr>
  </w:style>
  <w:style w:type="character" w:customStyle="1" w:styleId="80">
    <w:name w:val="批注框文本 Char"/>
    <w:link w:val="16"/>
    <w:semiHidden/>
    <w:qFormat/>
    <w:uiPriority w:val="99"/>
    <w:rPr>
      <w:sz w:val="18"/>
      <w:szCs w:val="18"/>
    </w:rPr>
  </w:style>
  <w:style w:type="character" w:customStyle="1" w:styleId="81">
    <w:name w:val="正文缩进 Char"/>
    <w:link w:val="7"/>
    <w:qFormat/>
    <w:uiPriority w:val="0"/>
    <w:rPr>
      <w:rFonts w:ascii="Times New Roman" w:hAnsi="Times New Roman" w:eastAsia="宋体" w:cs="Times New Roman"/>
      <w:szCs w:val="21"/>
    </w:rPr>
  </w:style>
  <w:style w:type="character" w:customStyle="1" w:styleId="82">
    <w:name w:val="font61"/>
    <w:qFormat/>
    <w:uiPriority w:val="0"/>
    <w:rPr>
      <w:rFonts w:ascii="方正仿宋_GBK" w:hAnsi="方正仿宋_GBK" w:eastAsia="方正仿宋_GBK" w:cs="方正仿宋_GBK"/>
      <w:color w:val="000000"/>
      <w:sz w:val="22"/>
      <w:szCs w:val="22"/>
      <w:u w:val="none"/>
    </w:rPr>
  </w:style>
  <w:style w:type="paragraph" w:customStyle="1" w:styleId="83">
    <w:name w:val="样式2"/>
    <w:basedOn w:val="1"/>
    <w:qFormat/>
    <w:uiPriority w:val="99"/>
    <w:pPr>
      <w:spacing w:line="410" w:lineRule="atLeast"/>
      <w:jc w:val="left"/>
    </w:pPr>
    <w:rPr>
      <w:rFonts w:ascii="宋体"/>
      <w:kern w:val="0"/>
      <w:sz w:val="24"/>
      <w:szCs w:val="20"/>
    </w:rPr>
  </w:style>
  <w:style w:type="character" w:customStyle="1" w:styleId="84">
    <w:name w:val="标题 1 Char"/>
    <w:link w:val="4"/>
    <w:qFormat/>
    <w:uiPriority w:val="9"/>
    <w:rPr>
      <w:b/>
      <w:bCs/>
      <w:kern w:val="44"/>
      <w:sz w:val="44"/>
      <w:szCs w:val="44"/>
    </w:rPr>
  </w:style>
  <w:style w:type="character" w:customStyle="1" w:styleId="85">
    <w:name w:val="标题 2 Char"/>
    <w:link w:val="5"/>
    <w:qFormat/>
    <w:uiPriority w:val="0"/>
    <w:rPr>
      <w:rFonts w:ascii="Arial" w:hAnsi="Arial" w:eastAsia="幼圆" w:cs="Times New Roman"/>
      <w:b/>
      <w:bCs/>
      <w:sz w:val="44"/>
      <w:szCs w:val="44"/>
    </w:rPr>
  </w:style>
  <w:style w:type="paragraph" w:customStyle="1" w:styleId="86">
    <w:name w:val="p0"/>
    <w:basedOn w:val="1"/>
    <w:qFormat/>
    <w:uiPriority w:val="0"/>
    <w:pPr>
      <w:widowControl/>
      <w:spacing w:before="100" w:beforeAutospacing="1" w:after="100" w:afterAutospacing="1"/>
      <w:jc w:val="left"/>
    </w:pPr>
    <w:rPr>
      <w:rFonts w:ascii="Cambria" w:hAnsi="Cambria" w:cs="Cambria"/>
      <w:kern w:val="0"/>
      <w:sz w:val="24"/>
      <w:szCs w:val="24"/>
    </w:rPr>
  </w:style>
  <w:style w:type="paragraph" w:customStyle="1" w:styleId="87">
    <w:name w:val="正文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8">
    <w:name w:val="正文11"/>
    <w:next w:val="89"/>
    <w:qFormat/>
    <w:uiPriority w:val="0"/>
    <w:pPr>
      <w:widowControl w:val="0"/>
      <w:jc w:val="both"/>
    </w:pPr>
    <w:rPr>
      <w:rFonts w:ascii="Calibri" w:hAnsi="Calibri" w:eastAsia="宋体" w:cs="Times New Roman"/>
      <w:sz w:val="21"/>
      <w:szCs w:val="21"/>
      <w:lang w:val="en-US" w:eastAsia="zh-CN" w:bidi="ar-SA"/>
    </w:rPr>
  </w:style>
  <w:style w:type="paragraph" w:customStyle="1" w:styleId="89">
    <w:name w:val="正文首行缩进 21"/>
    <w:basedOn w:val="90"/>
    <w:qFormat/>
    <w:uiPriority w:val="0"/>
    <w:pPr>
      <w:ind w:firstLine="420"/>
    </w:pPr>
    <w:rPr>
      <w:sz w:val="20"/>
    </w:rPr>
  </w:style>
  <w:style w:type="paragraph" w:customStyle="1" w:styleId="90">
    <w:name w:val="正文文本缩进1"/>
    <w:basedOn w:val="88"/>
    <w:next w:val="91"/>
    <w:qFormat/>
    <w:uiPriority w:val="0"/>
    <w:pPr>
      <w:spacing w:line="400" w:lineRule="exact"/>
      <w:ind w:firstLine="540"/>
    </w:pPr>
    <w:rPr>
      <w:sz w:val="24"/>
    </w:rPr>
  </w:style>
  <w:style w:type="paragraph" w:customStyle="1" w:styleId="91">
    <w:name w:val="寄信人地址1"/>
    <w:basedOn w:val="88"/>
    <w:qFormat/>
    <w:uiPriority w:val="0"/>
    <w:rPr>
      <w:rFonts w:ascii="Arial" w:hAnsi="Arial"/>
    </w:rPr>
  </w:style>
  <w:style w:type="paragraph" w:customStyle="1" w:styleId="92">
    <w:name w:val="列表项目符号 21"/>
    <w:basedOn w:val="88"/>
    <w:qFormat/>
    <w:uiPriority w:val="0"/>
    <w:pPr>
      <w:numPr>
        <w:ilvl w:val="0"/>
        <w:numId w:val="2"/>
      </w:numPr>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20882</Words>
  <Characters>21796</Characters>
  <Lines>203</Lines>
  <Paragraphs>57</Paragraphs>
  <TotalTime>2</TotalTime>
  <ScaleCrop>false</ScaleCrop>
  <LinksUpToDate>false</LinksUpToDate>
  <CharactersWithSpaces>22235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2025-08-28T18:05:00Z</dcterms:created>
  <dc:creator>Lenovo</dc:creator>
  <cp:lastModifiedBy>妙</cp:lastModifiedBy>
  <cp:lastPrinted>2026-03-17T08:11:00Z</cp:lastPrinted>
  <dcterms:modified xsi:type="dcterms:W3CDTF">2026-03-17T08:25:37Z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eyJoZGlkIjoiNWE4OWU4OGVlMTA2MzdiMDViOGJlNDhlODY1MmMwNzAiLCJ1c2VySWQiOiIyNzkzMDA0MjYifQ==</vt:lpwstr>
  </property>
  <property fmtid="{D5CDD505-2E9C-101B-9397-08002B2CF9AE}" pid="3" name="KSOProductBuildVer">
    <vt:lpwstr>2052-12.1.0.25225</vt:lpwstr>
  </property>
  <property fmtid="{D5CDD505-2E9C-101B-9397-08002B2CF9AE}" pid="4" name="ICV">
    <vt:lpwstr>A3132F7703DD4E0FADB33577B21DA4BD_13</vt:lpwstr>
  </property>
</Properties>
</file>